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AB1496C" w14:textId="77777777" w:rsidR="00287A98" w:rsidRDefault="00287A98" w:rsidP="00287A98">
      <w:pPr>
        <w:pStyle w:val="Title"/>
        <w:rPr>
          <w:lang w:val="en-IE"/>
        </w:rPr>
      </w:pPr>
      <w:r>
        <w:rPr>
          <w:lang w:val="en-IE"/>
        </w:rPr>
        <w:t>Public Consultation on the Corporate Sustainability Reporting Directive</w:t>
      </w:r>
    </w:p>
    <w:p w14:paraId="49DD3DBB" w14:textId="00F52CD6" w:rsidR="00436869" w:rsidRDefault="00287A98" w:rsidP="00D76841">
      <w:pPr>
        <w:pStyle w:val="Subtitle"/>
        <w:rPr>
          <w:sz w:val="24"/>
          <w:szCs w:val="24"/>
          <w:shd w:val="clear" w:color="auto" w:fill="FFFFFF"/>
        </w:rPr>
      </w:pPr>
      <w:r>
        <w:rPr>
          <w:sz w:val="24"/>
          <w:szCs w:val="24"/>
          <w:shd w:val="clear" w:color="auto" w:fill="FFFFFF"/>
        </w:rPr>
        <w:t>Member State Options in the t</w:t>
      </w:r>
      <w:r w:rsidRPr="00143A1D">
        <w:rPr>
          <w:sz w:val="24"/>
          <w:szCs w:val="24"/>
          <w:shd w:val="clear" w:color="auto" w:fill="FFFFFF"/>
        </w:rPr>
        <w:t>ransposition of Directive (EU) 2022/2464 of the European Parliament and of the Council of 14 December 2022 amending Regulation (EU) No 537/2014, Directive 2004/109/EC, Directive 2006/43/</w:t>
      </w:r>
      <w:proofErr w:type="gramStart"/>
      <w:r w:rsidRPr="00143A1D">
        <w:rPr>
          <w:sz w:val="24"/>
          <w:szCs w:val="24"/>
          <w:shd w:val="clear" w:color="auto" w:fill="FFFFFF"/>
        </w:rPr>
        <w:t>EC</w:t>
      </w:r>
      <w:proofErr w:type="gramEnd"/>
      <w:r w:rsidRPr="00143A1D">
        <w:rPr>
          <w:sz w:val="24"/>
          <w:szCs w:val="24"/>
          <w:shd w:val="clear" w:color="auto" w:fill="FFFFFF"/>
        </w:rPr>
        <w:t xml:space="preserve"> and Directive 2013/34/EU, as regards corporate sustainability reporting</w:t>
      </w:r>
    </w:p>
    <w:p w14:paraId="58C5B813" w14:textId="3433A2CC" w:rsidR="0014575D" w:rsidRDefault="0014575D" w:rsidP="0014575D"/>
    <w:p w14:paraId="3BF92EA5" w14:textId="617F552B" w:rsidR="0014575D" w:rsidRDefault="0014575D" w:rsidP="0014575D"/>
    <w:p w14:paraId="6CF33BAB" w14:textId="4A450249" w:rsidR="0014575D" w:rsidRDefault="0014575D" w:rsidP="0014575D"/>
    <w:p w14:paraId="54758B67" w14:textId="3C71C2F0" w:rsidR="0014575D" w:rsidRDefault="0014575D" w:rsidP="0014575D"/>
    <w:p w14:paraId="735046D4" w14:textId="69BA2474" w:rsidR="0014575D" w:rsidRDefault="0014575D" w:rsidP="0014575D"/>
    <w:p w14:paraId="251576A5" w14:textId="43755F20" w:rsidR="0014575D" w:rsidRDefault="0014575D" w:rsidP="0014575D"/>
    <w:p w14:paraId="08CF1789" w14:textId="0BC68C22" w:rsidR="0014575D" w:rsidRDefault="0014575D" w:rsidP="0014575D"/>
    <w:p w14:paraId="5AFAB204" w14:textId="5E8C3019" w:rsidR="0014575D" w:rsidRDefault="0014575D" w:rsidP="0014575D"/>
    <w:p w14:paraId="431E1775" w14:textId="7476BE50" w:rsidR="0014575D" w:rsidRDefault="0014575D" w:rsidP="0014575D"/>
    <w:p w14:paraId="0A7008F7" w14:textId="77777777" w:rsidR="0014575D" w:rsidRPr="0014575D" w:rsidRDefault="0014575D" w:rsidP="0014575D"/>
    <w:p w14:paraId="4D92CB7D" w14:textId="77777777" w:rsidR="0014575D" w:rsidRPr="0014575D" w:rsidRDefault="0014575D" w:rsidP="0014575D"/>
    <w:p w14:paraId="4FBA678D" w14:textId="64CE7943" w:rsidR="00436869" w:rsidRDefault="00436869">
      <w:pPr>
        <w:tabs>
          <w:tab w:val="clear" w:pos="454"/>
          <w:tab w:val="clear" w:pos="907"/>
          <w:tab w:val="clear" w:pos="1361"/>
          <w:tab w:val="clear" w:pos="1814"/>
          <w:tab w:val="clear" w:pos="2268"/>
        </w:tabs>
        <w:spacing w:after="200" w:line="312" w:lineRule="auto"/>
        <w:rPr>
          <w:sz w:val="24"/>
          <w:szCs w:val="24"/>
          <w:shd w:val="clear" w:color="auto" w:fill="FFFFFF"/>
        </w:rPr>
      </w:pPr>
      <w:bookmarkStart w:id="0" w:name="_Toc125110250"/>
      <w:r>
        <w:rPr>
          <w:sz w:val="24"/>
          <w:szCs w:val="24"/>
          <w:shd w:val="clear" w:color="auto" w:fill="FFFFFF"/>
        </w:rPr>
        <w:br w:type="page"/>
      </w:r>
    </w:p>
    <w:sdt>
      <w:sdtPr>
        <w:rPr>
          <w:rFonts w:eastAsiaTheme="minorHAnsi" w:cstheme="minorBidi"/>
          <w:b w:val="0"/>
          <w:bCs w:val="0"/>
          <w:color w:val="000000" w:themeColor="text1"/>
          <w:sz w:val="21"/>
          <w:szCs w:val="22"/>
        </w:rPr>
        <w:id w:val="928085934"/>
        <w:docPartObj>
          <w:docPartGallery w:val="Table of Contents"/>
          <w:docPartUnique/>
        </w:docPartObj>
      </w:sdtPr>
      <w:sdtEndPr>
        <w:rPr>
          <w:noProof/>
        </w:rPr>
      </w:sdtEndPr>
      <w:sdtContent>
        <w:p w14:paraId="3D236011" w14:textId="43C5F085" w:rsidR="00436869" w:rsidRDefault="00436869">
          <w:pPr>
            <w:pStyle w:val="TOCHeading"/>
          </w:pPr>
          <w:r>
            <w:t>Contents</w:t>
          </w:r>
        </w:p>
        <w:p w14:paraId="08E94CAE" w14:textId="6A19D6BC" w:rsidR="00B24E6A" w:rsidRDefault="00436869">
          <w:pPr>
            <w:pStyle w:val="TOC2"/>
            <w:tabs>
              <w:tab w:val="left" w:pos="880"/>
            </w:tabs>
            <w:rPr>
              <w:rFonts w:asciiTheme="minorHAnsi" w:eastAsiaTheme="minorEastAsia" w:hAnsiTheme="minorHAnsi"/>
              <w:noProof/>
              <w:color w:val="auto"/>
              <w:sz w:val="22"/>
              <w:lang w:val="en-IE" w:eastAsia="en-IE"/>
            </w:rPr>
          </w:pPr>
          <w:r>
            <w:fldChar w:fldCharType="begin"/>
          </w:r>
          <w:r>
            <w:instrText xml:space="preserve"> TOC \o "1-3" \h \z \u </w:instrText>
          </w:r>
          <w:r>
            <w:fldChar w:fldCharType="separate"/>
          </w:r>
          <w:hyperlink w:anchor="_Toc125478252" w:history="1">
            <w:r w:rsidR="00B24E6A" w:rsidRPr="005615A2">
              <w:rPr>
                <w:rStyle w:val="Hyperlink"/>
                <w:rFonts w:cstheme="minorHAnsi"/>
                <w:noProof/>
              </w:rPr>
              <w:t>1.</w:t>
            </w:r>
            <w:r w:rsidR="00B24E6A">
              <w:rPr>
                <w:rFonts w:asciiTheme="minorHAnsi" w:eastAsiaTheme="minorEastAsia" w:hAnsiTheme="minorHAnsi"/>
                <w:noProof/>
                <w:color w:val="auto"/>
                <w:sz w:val="22"/>
                <w:lang w:val="en-IE" w:eastAsia="en-IE"/>
              </w:rPr>
              <w:tab/>
            </w:r>
            <w:r w:rsidR="00B24E6A" w:rsidRPr="005615A2">
              <w:rPr>
                <w:rStyle w:val="Hyperlink"/>
                <w:rFonts w:cstheme="minorHAnsi"/>
                <w:noProof/>
              </w:rPr>
              <w:t>Background</w:t>
            </w:r>
            <w:r w:rsidR="00B24E6A">
              <w:rPr>
                <w:noProof/>
                <w:webHidden/>
              </w:rPr>
              <w:tab/>
            </w:r>
            <w:r w:rsidR="00B24E6A">
              <w:rPr>
                <w:noProof/>
                <w:webHidden/>
              </w:rPr>
              <w:fldChar w:fldCharType="begin"/>
            </w:r>
            <w:r w:rsidR="00B24E6A">
              <w:rPr>
                <w:noProof/>
                <w:webHidden/>
              </w:rPr>
              <w:instrText xml:space="preserve"> PAGEREF _Toc125478252 \h </w:instrText>
            </w:r>
            <w:r w:rsidR="00B24E6A">
              <w:rPr>
                <w:noProof/>
                <w:webHidden/>
              </w:rPr>
            </w:r>
            <w:r w:rsidR="00B24E6A">
              <w:rPr>
                <w:noProof/>
                <w:webHidden/>
              </w:rPr>
              <w:fldChar w:fldCharType="separate"/>
            </w:r>
            <w:r w:rsidR="00B37AB9">
              <w:rPr>
                <w:noProof/>
                <w:webHidden/>
              </w:rPr>
              <w:t>2</w:t>
            </w:r>
            <w:r w:rsidR="00B24E6A">
              <w:rPr>
                <w:noProof/>
                <w:webHidden/>
              </w:rPr>
              <w:fldChar w:fldCharType="end"/>
            </w:r>
          </w:hyperlink>
        </w:p>
        <w:p w14:paraId="792F6754" w14:textId="7F9A5A5A" w:rsidR="00B24E6A" w:rsidRDefault="00000000">
          <w:pPr>
            <w:pStyle w:val="TOC2"/>
            <w:tabs>
              <w:tab w:val="left" w:pos="880"/>
            </w:tabs>
            <w:rPr>
              <w:rFonts w:asciiTheme="minorHAnsi" w:eastAsiaTheme="minorEastAsia" w:hAnsiTheme="minorHAnsi"/>
              <w:noProof/>
              <w:color w:val="auto"/>
              <w:sz w:val="22"/>
              <w:lang w:val="en-IE" w:eastAsia="en-IE"/>
            </w:rPr>
          </w:pPr>
          <w:hyperlink w:anchor="_Toc125478253" w:history="1">
            <w:r w:rsidR="00B24E6A" w:rsidRPr="005615A2">
              <w:rPr>
                <w:rStyle w:val="Hyperlink"/>
                <w:rFonts w:cstheme="minorHAnsi"/>
                <w:noProof/>
              </w:rPr>
              <w:t>2.</w:t>
            </w:r>
            <w:r w:rsidR="00B24E6A">
              <w:rPr>
                <w:rFonts w:asciiTheme="minorHAnsi" w:eastAsiaTheme="minorEastAsia" w:hAnsiTheme="minorHAnsi"/>
                <w:noProof/>
                <w:color w:val="auto"/>
                <w:sz w:val="22"/>
                <w:lang w:val="en-IE" w:eastAsia="en-IE"/>
              </w:rPr>
              <w:tab/>
            </w:r>
            <w:r w:rsidR="00B24E6A" w:rsidRPr="005615A2">
              <w:rPr>
                <w:rStyle w:val="Hyperlink"/>
                <w:rFonts w:cstheme="minorHAnsi"/>
                <w:noProof/>
              </w:rPr>
              <w:t>Member State Options</w:t>
            </w:r>
            <w:r w:rsidR="00B24E6A">
              <w:rPr>
                <w:noProof/>
                <w:webHidden/>
              </w:rPr>
              <w:tab/>
            </w:r>
            <w:r w:rsidR="00B24E6A">
              <w:rPr>
                <w:noProof/>
                <w:webHidden/>
              </w:rPr>
              <w:fldChar w:fldCharType="begin"/>
            </w:r>
            <w:r w:rsidR="00B24E6A">
              <w:rPr>
                <w:noProof/>
                <w:webHidden/>
              </w:rPr>
              <w:instrText xml:space="preserve"> PAGEREF _Toc125478253 \h </w:instrText>
            </w:r>
            <w:r w:rsidR="00B24E6A">
              <w:rPr>
                <w:noProof/>
                <w:webHidden/>
              </w:rPr>
            </w:r>
            <w:r w:rsidR="00B24E6A">
              <w:rPr>
                <w:noProof/>
                <w:webHidden/>
              </w:rPr>
              <w:fldChar w:fldCharType="separate"/>
            </w:r>
            <w:r w:rsidR="00B37AB9">
              <w:rPr>
                <w:noProof/>
                <w:webHidden/>
              </w:rPr>
              <w:t>4</w:t>
            </w:r>
            <w:r w:rsidR="00B24E6A">
              <w:rPr>
                <w:noProof/>
                <w:webHidden/>
              </w:rPr>
              <w:fldChar w:fldCharType="end"/>
            </w:r>
          </w:hyperlink>
        </w:p>
        <w:p w14:paraId="2A9C0398" w14:textId="2BD08B33" w:rsidR="00B24E6A" w:rsidRDefault="00000000">
          <w:pPr>
            <w:pStyle w:val="TOC2"/>
            <w:tabs>
              <w:tab w:val="left" w:pos="880"/>
            </w:tabs>
            <w:rPr>
              <w:rFonts w:asciiTheme="minorHAnsi" w:eastAsiaTheme="minorEastAsia" w:hAnsiTheme="minorHAnsi"/>
              <w:noProof/>
              <w:color w:val="auto"/>
              <w:sz w:val="22"/>
              <w:lang w:val="en-IE" w:eastAsia="en-IE"/>
            </w:rPr>
          </w:pPr>
          <w:hyperlink w:anchor="_Toc125478254" w:history="1">
            <w:r w:rsidR="00B24E6A" w:rsidRPr="005615A2">
              <w:rPr>
                <w:rStyle w:val="Hyperlink"/>
                <w:rFonts w:cstheme="minorHAnsi"/>
                <w:noProof/>
              </w:rPr>
              <w:t>3.</w:t>
            </w:r>
            <w:r w:rsidR="00B24E6A">
              <w:rPr>
                <w:rFonts w:asciiTheme="minorHAnsi" w:eastAsiaTheme="minorEastAsia" w:hAnsiTheme="minorHAnsi"/>
                <w:noProof/>
                <w:color w:val="auto"/>
                <w:sz w:val="22"/>
                <w:lang w:val="en-IE" w:eastAsia="en-IE"/>
              </w:rPr>
              <w:tab/>
            </w:r>
            <w:r w:rsidR="00B24E6A" w:rsidRPr="005615A2">
              <w:rPr>
                <w:rStyle w:val="Hyperlink"/>
                <w:rFonts w:cstheme="minorHAnsi"/>
                <w:noProof/>
              </w:rPr>
              <w:t>Consultation Responses</w:t>
            </w:r>
            <w:r w:rsidR="00B24E6A">
              <w:rPr>
                <w:noProof/>
                <w:webHidden/>
              </w:rPr>
              <w:tab/>
            </w:r>
            <w:r w:rsidR="00B24E6A">
              <w:rPr>
                <w:noProof/>
                <w:webHidden/>
              </w:rPr>
              <w:fldChar w:fldCharType="begin"/>
            </w:r>
            <w:r w:rsidR="00B24E6A">
              <w:rPr>
                <w:noProof/>
                <w:webHidden/>
              </w:rPr>
              <w:instrText xml:space="preserve"> PAGEREF _Toc125478254 \h </w:instrText>
            </w:r>
            <w:r w:rsidR="00B24E6A">
              <w:rPr>
                <w:noProof/>
                <w:webHidden/>
              </w:rPr>
            </w:r>
            <w:r w:rsidR="00B24E6A">
              <w:rPr>
                <w:noProof/>
                <w:webHidden/>
              </w:rPr>
              <w:fldChar w:fldCharType="separate"/>
            </w:r>
            <w:r w:rsidR="00B37AB9">
              <w:rPr>
                <w:noProof/>
                <w:webHidden/>
              </w:rPr>
              <w:t>4</w:t>
            </w:r>
            <w:r w:rsidR="00B24E6A">
              <w:rPr>
                <w:noProof/>
                <w:webHidden/>
              </w:rPr>
              <w:fldChar w:fldCharType="end"/>
            </w:r>
          </w:hyperlink>
        </w:p>
        <w:p w14:paraId="3E429E48" w14:textId="0EEA6D55" w:rsidR="00B24E6A" w:rsidRDefault="00000000">
          <w:pPr>
            <w:pStyle w:val="TOC2"/>
            <w:tabs>
              <w:tab w:val="left" w:pos="880"/>
            </w:tabs>
            <w:rPr>
              <w:rFonts w:asciiTheme="minorHAnsi" w:eastAsiaTheme="minorEastAsia" w:hAnsiTheme="minorHAnsi"/>
              <w:noProof/>
              <w:color w:val="auto"/>
              <w:sz w:val="22"/>
              <w:lang w:val="en-IE" w:eastAsia="en-IE"/>
            </w:rPr>
          </w:pPr>
          <w:hyperlink w:anchor="_Toc125478255" w:history="1">
            <w:r w:rsidR="00B24E6A" w:rsidRPr="005615A2">
              <w:rPr>
                <w:rStyle w:val="Hyperlink"/>
                <w:rFonts w:cstheme="minorHAnsi"/>
                <w:noProof/>
              </w:rPr>
              <w:t>4.</w:t>
            </w:r>
            <w:r w:rsidR="00B24E6A">
              <w:rPr>
                <w:rFonts w:asciiTheme="minorHAnsi" w:eastAsiaTheme="minorEastAsia" w:hAnsiTheme="minorHAnsi"/>
                <w:noProof/>
                <w:color w:val="auto"/>
                <w:sz w:val="22"/>
                <w:lang w:val="en-IE" w:eastAsia="en-IE"/>
              </w:rPr>
              <w:tab/>
            </w:r>
            <w:r w:rsidR="00B24E6A" w:rsidRPr="005615A2">
              <w:rPr>
                <w:rStyle w:val="Hyperlink"/>
                <w:rFonts w:cstheme="minorHAnsi"/>
                <w:noProof/>
              </w:rPr>
              <w:t>Information on Consultation Process</w:t>
            </w:r>
            <w:r w:rsidR="00B24E6A">
              <w:rPr>
                <w:noProof/>
                <w:webHidden/>
              </w:rPr>
              <w:tab/>
            </w:r>
            <w:r w:rsidR="00B24E6A">
              <w:rPr>
                <w:noProof/>
                <w:webHidden/>
              </w:rPr>
              <w:fldChar w:fldCharType="begin"/>
            </w:r>
            <w:r w:rsidR="00B24E6A">
              <w:rPr>
                <w:noProof/>
                <w:webHidden/>
              </w:rPr>
              <w:instrText xml:space="preserve"> PAGEREF _Toc125478255 \h </w:instrText>
            </w:r>
            <w:r w:rsidR="00B24E6A">
              <w:rPr>
                <w:noProof/>
                <w:webHidden/>
              </w:rPr>
            </w:r>
            <w:r w:rsidR="00B24E6A">
              <w:rPr>
                <w:noProof/>
                <w:webHidden/>
              </w:rPr>
              <w:fldChar w:fldCharType="separate"/>
            </w:r>
            <w:r w:rsidR="00B37AB9">
              <w:rPr>
                <w:noProof/>
                <w:webHidden/>
              </w:rPr>
              <w:t>4</w:t>
            </w:r>
            <w:r w:rsidR="00B24E6A">
              <w:rPr>
                <w:noProof/>
                <w:webHidden/>
              </w:rPr>
              <w:fldChar w:fldCharType="end"/>
            </w:r>
          </w:hyperlink>
        </w:p>
        <w:p w14:paraId="1CBF159D" w14:textId="5604F3C8" w:rsidR="00B24E6A" w:rsidRDefault="00000000">
          <w:pPr>
            <w:pStyle w:val="TOC2"/>
            <w:tabs>
              <w:tab w:val="left" w:pos="880"/>
            </w:tabs>
            <w:rPr>
              <w:rFonts w:asciiTheme="minorHAnsi" w:eastAsiaTheme="minorEastAsia" w:hAnsiTheme="minorHAnsi"/>
              <w:noProof/>
              <w:color w:val="auto"/>
              <w:sz w:val="22"/>
              <w:lang w:val="en-IE" w:eastAsia="en-IE"/>
            </w:rPr>
          </w:pPr>
          <w:hyperlink w:anchor="_Toc125478256" w:history="1">
            <w:r w:rsidR="00B24E6A" w:rsidRPr="005615A2">
              <w:rPr>
                <w:rStyle w:val="Hyperlink"/>
                <w:rFonts w:cstheme="minorHAnsi"/>
                <w:noProof/>
              </w:rPr>
              <w:t>5.</w:t>
            </w:r>
            <w:r w:rsidR="00B24E6A">
              <w:rPr>
                <w:rFonts w:asciiTheme="minorHAnsi" w:eastAsiaTheme="minorEastAsia" w:hAnsiTheme="minorHAnsi"/>
                <w:noProof/>
                <w:color w:val="auto"/>
                <w:sz w:val="22"/>
                <w:lang w:val="en-IE" w:eastAsia="en-IE"/>
              </w:rPr>
              <w:tab/>
            </w:r>
            <w:r w:rsidR="00B24E6A" w:rsidRPr="005615A2">
              <w:rPr>
                <w:rStyle w:val="Hyperlink"/>
                <w:rFonts w:cstheme="minorHAnsi"/>
                <w:noProof/>
              </w:rPr>
              <w:t>General Data Protection Regulation</w:t>
            </w:r>
            <w:r w:rsidR="00B24E6A">
              <w:rPr>
                <w:noProof/>
                <w:webHidden/>
              </w:rPr>
              <w:tab/>
            </w:r>
            <w:r w:rsidR="00B24E6A">
              <w:rPr>
                <w:noProof/>
                <w:webHidden/>
              </w:rPr>
              <w:fldChar w:fldCharType="begin"/>
            </w:r>
            <w:r w:rsidR="00B24E6A">
              <w:rPr>
                <w:noProof/>
                <w:webHidden/>
              </w:rPr>
              <w:instrText xml:space="preserve"> PAGEREF _Toc125478256 \h </w:instrText>
            </w:r>
            <w:r w:rsidR="00B24E6A">
              <w:rPr>
                <w:noProof/>
                <w:webHidden/>
              </w:rPr>
            </w:r>
            <w:r w:rsidR="00B24E6A">
              <w:rPr>
                <w:noProof/>
                <w:webHidden/>
              </w:rPr>
              <w:fldChar w:fldCharType="separate"/>
            </w:r>
            <w:r w:rsidR="00B37AB9">
              <w:rPr>
                <w:noProof/>
                <w:webHidden/>
              </w:rPr>
              <w:t>5</w:t>
            </w:r>
            <w:r w:rsidR="00B24E6A">
              <w:rPr>
                <w:noProof/>
                <w:webHidden/>
              </w:rPr>
              <w:fldChar w:fldCharType="end"/>
            </w:r>
          </w:hyperlink>
        </w:p>
        <w:p w14:paraId="69ACD943" w14:textId="5368EBB4" w:rsidR="00B24E6A" w:rsidRDefault="00000000">
          <w:pPr>
            <w:pStyle w:val="TOC2"/>
            <w:rPr>
              <w:rFonts w:asciiTheme="minorHAnsi" w:eastAsiaTheme="minorEastAsia" w:hAnsiTheme="minorHAnsi"/>
              <w:noProof/>
              <w:color w:val="auto"/>
              <w:sz w:val="22"/>
              <w:lang w:val="en-IE" w:eastAsia="en-IE"/>
            </w:rPr>
          </w:pPr>
          <w:hyperlink w:anchor="_Toc125478257" w:history="1">
            <w:r w:rsidR="00B24E6A" w:rsidRPr="005615A2">
              <w:rPr>
                <w:rStyle w:val="Hyperlink"/>
                <w:rFonts w:cstheme="minorHAnsi"/>
                <w:noProof/>
              </w:rPr>
              <w:t>Appendix I</w:t>
            </w:r>
            <w:r w:rsidR="00B24E6A">
              <w:rPr>
                <w:noProof/>
                <w:webHidden/>
              </w:rPr>
              <w:tab/>
            </w:r>
            <w:r w:rsidR="00B24E6A">
              <w:rPr>
                <w:noProof/>
                <w:webHidden/>
              </w:rPr>
              <w:fldChar w:fldCharType="begin"/>
            </w:r>
            <w:r w:rsidR="00B24E6A">
              <w:rPr>
                <w:noProof/>
                <w:webHidden/>
              </w:rPr>
              <w:instrText xml:space="preserve"> PAGEREF _Toc125478257 \h </w:instrText>
            </w:r>
            <w:r w:rsidR="00B24E6A">
              <w:rPr>
                <w:noProof/>
                <w:webHidden/>
              </w:rPr>
            </w:r>
            <w:r w:rsidR="00B24E6A">
              <w:rPr>
                <w:noProof/>
                <w:webHidden/>
              </w:rPr>
              <w:fldChar w:fldCharType="separate"/>
            </w:r>
            <w:r w:rsidR="00B37AB9">
              <w:rPr>
                <w:noProof/>
                <w:webHidden/>
              </w:rPr>
              <w:t>6</w:t>
            </w:r>
            <w:r w:rsidR="00B24E6A">
              <w:rPr>
                <w:noProof/>
                <w:webHidden/>
              </w:rPr>
              <w:fldChar w:fldCharType="end"/>
            </w:r>
          </w:hyperlink>
        </w:p>
        <w:p w14:paraId="4FC0A536" w14:textId="2717C625" w:rsidR="0092059A" w:rsidRPr="00436869" w:rsidRDefault="00436869" w:rsidP="00EF27AC">
          <w:r>
            <w:rPr>
              <w:b/>
              <w:bCs/>
              <w:noProof/>
            </w:rPr>
            <w:fldChar w:fldCharType="end"/>
          </w:r>
        </w:p>
      </w:sdtContent>
    </w:sdt>
    <w:bookmarkEnd w:id="0" w:displacedByCustomXml="prev"/>
    <w:p w14:paraId="2C8ED7D1" w14:textId="77777777" w:rsidR="0092059A" w:rsidRPr="00436869" w:rsidRDefault="0092059A" w:rsidP="0092059A">
      <w:pPr>
        <w:spacing w:line="360" w:lineRule="auto"/>
        <w:jc w:val="both"/>
        <w:rPr>
          <w:rFonts w:asciiTheme="minorHAnsi" w:hAnsiTheme="minorHAnsi" w:cstheme="minorHAnsi"/>
          <w:sz w:val="24"/>
          <w:szCs w:val="24"/>
        </w:rPr>
      </w:pPr>
      <w:r w:rsidRPr="00436869">
        <w:rPr>
          <w:rFonts w:asciiTheme="minorHAnsi" w:hAnsiTheme="minorHAnsi" w:cstheme="minorHAnsi"/>
          <w:sz w:val="24"/>
          <w:szCs w:val="24"/>
        </w:rPr>
        <w:t xml:space="preserve">The Department of Enterprise, Trade and Employment is seeking the views of stakeholders on the transposition of the </w:t>
      </w:r>
      <w:hyperlink r:id="rId13" w:history="1">
        <w:r w:rsidRPr="00436869">
          <w:rPr>
            <w:rFonts w:asciiTheme="minorHAnsi" w:hAnsiTheme="minorHAnsi" w:cstheme="minorHAnsi"/>
            <w:sz w:val="24"/>
            <w:szCs w:val="24"/>
          </w:rPr>
          <w:t>Corporate Sustainability Reporting Directive</w:t>
        </w:r>
      </w:hyperlink>
      <w:r w:rsidRPr="00436869">
        <w:rPr>
          <w:rStyle w:val="FootnoteReference"/>
          <w:rFonts w:asciiTheme="minorHAnsi" w:hAnsiTheme="minorHAnsi" w:cstheme="minorHAnsi"/>
          <w:b w:val="0"/>
          <w:bCs w:val="0"/>
          <w:sz w:val="24"/>
          <w:szCs w:val="24"/>
        </w:rPr>
        <w:footnoteReference w:id="2"/>
      </w:r>
      <w:r w:rsidRPr="00436869">
        <w:rPr>
          <w:rFonts w:asciiTheme="minorHAnsi" w:hAnsiTheme="minorHAnsi" w:cstheme="minorHAnsi"/>
          <w:sz w:val="24"/>
          <w:szCs w:val="24"/>
        </w:rPr>
        <w:t xml:space="preserve"> into Irish law.</w:t>
      </w:r>
    </w:p>
    <w:p w14:paraId="054743A1" w14:textId="41452144" w:rsidR="00287A98" w:rsidRPr="00436869" w:rsidRDefault="00287A98" w:rsidP="00287A98">
      <w:pPr>
        <w:spacing w:line="360" w:lineRule="auto"/>
        <w:jc w:val="both"/>
        <w:rPr>
          <w:rFonts w:asciiTheme="minorHAnsi" w:hAnsiTheme="minorHAnsi" w:cstheme="minorHAnsi"/>
          <w:sz w:val="24"/>
          <w:szCs w:val="24"/>
        </w:rPr>
      </w:pPr>
      <w:r w:rsidRPr="00436869">
        <w:rPr>
          <w:rFonts w:asciiTheme="minorHAnsi" w:hAnsiTheme="minorHAnsi" w:cstheme="minorHAnsi"/>
          <w:sz w:val="24"/>
          <w:szCs w:val="24"/>
        </w:rPr>
        <w:t xml:space="preserve">Views from stakeholders and interested parties are requested no later than 5pm on Thursday, </w:t>
      </w:r>
      <w:r w:rsidR="00F00772">
        <w:rPr>
          <w:rFonts w:asciiTheme="minorHAnsi" w:hAnsiTheme="minorHAnsi" w:cstheme="minorHAnsi"/>
          <w:b/>
          <w:bCs/>
          <w:sz w:val="24"/>
          <w:szCs w:val="24"/>
        </w:rPr>
        <w:t>9</w:t>
      </w:r>
      <w:r w:rsidR="00F00772" w:rsidRPr="00EF27AC">
        <w:rPr>
          <w:rFonts w:asciiTheme="minorHAnsi" w:hAnsiTheme="minorHAnsi" w:cstheme="minorHAnsi"/>
          <w:b/>
          <w:bCs/>
          <w:sz w:val="24"/>
          <w:szCs w:val="24"/>
          <w:vertAlign w:val="superscript"/>
        </w:rPr>
        <w:t>th</w:t>
      </w:r>
      <w:r w:rsidRPr="00436869">
        <w:rPr>
          <w:rFonts w:asciiTheme="minorHAnsi" w:hAnsiTheme="minorHAnsi" w:cstheme="minorHAnsi"/>
          <w:b/>
          <w:bCs/>
          <w:sz w:val="24"/>
          <w:szCs w:val="24"/>
        </w:rPr>
        <w:t xml:space="preserve"> March 2023</w:t>
      </w:r>
      <w:r w:rsidRPr="00436869">
        <w:rPr>
          <w:rFonts w:asciiTheme="minorHAnsi" w:hAnsiTheme="minorHAnsi" w:cstheme="minorHAnsi"/>
          <w:sz w:val="24"/>
          <w:szCs w:val="24"/>
        </w:rPr>
        <w:t xml:space="preserve">. Submissions should be marked Corporate Sustainability Reporting Directive and should be emailed to </w:t>
      </w:r>
      <w:hyperlink r:id="rId14" w:history="1">
        <w:r w:rsidRPr="00436869">
          <w:rPr>
            <w:rStyle w:val="Hyperlink"/>
            <w:rFonts w:asciiTheme="minorHAnsi" w:hAnsiTheme="minorHAnsi" w:cstheme="minorHAnsi"/>
            <w:sz w:val="24"/>
            <w:szCs w:val="24"/>
          </w:rPr>
          <w:t>CSRD@enterprise.gov.ie</w:t>
        </w:r>
      </w:hyperlink>
      <w:r w:rsidRPr="00436869">
        <w:rPr>
          <w:rFonts w:asciiTheme="minorHAnsi" w:hAnsiTheme="minorHAnsi" w:cstheme="minorHAnsi"/>
          <w:sz w:val="24"/>
          <w:szCs w:val="24"/>
        </w:rPr>
        <w:t>. Further queries can also be made to that email address.</w:t>
      </w:r>
    </w:p>
    <w:p w14:paraId="7EFA4689" w14:textId="19FA1A68" w:rsidR="0092059A" w:rsidRPr="00436869" w:rsidRDefault="0092059A" w:rsidP="0092059A">
      <w:pPr>
        <w:spacing w:line="360" w:lineRule="auto"/>
        <w:jc w:val="both"/>
        <w:rPr>
          <w:rFonts w:asciiTheme="minorHAnsi" w:hAnsiTheme="minorHAnsi" w:cstheme="minorHAnsi"/>
          <w:b/>
          <w:bCs/>
          <w:sz w:val="24"/>
          <w:szCs w:val="24"/>
        </w:rPr>
      </w:pPr>
      <w:r w:rsidRPr="00436869">
        <w:rPr>
          <w:rFonts w:asciiTheme="minorHAnsi" w:hAnsiTheme="minorHAnsi" w:cstheme="minorHAnsi"/>
          <w:sz w:val="24"/>
          <w:szCs w:val="24"/>
        </w:rPr>
        <w:t>The responses to the consultation will help inform the work to be undertaken by the Department on the transposition of the directive.</w:t>
      </w:r>
    </w:p>
    <w:p w14:paraId="6270FF43" w14:textId="77777777" w:rsidR="0092059A" w:rsidRPr="00436869" w:rsidRDefault="0092059A" w:rsidP="0092059A">
      <w:pPr>
        <w:pStyle w:val="Heading2"/>
        <w:numPr>
          <w:ilvl w:val="0"/>
          <w:numId w:val="29"/>
        </w:numPr>
        <w:tabs>
          <w:tab w:val="num" w:pos="360"/>
        </w:tabs>
        <w:spacing w:line="360" w:lineRule="auto"/>
        <w:ind w:left="0" w:firstLine="0"/>
        <w:jc w:val="both"/>
        <w:rPr>
          <w:rFonts w:asciiTheme="minorHAnsi" w:hAnsiTheme="minorHAnsi" w:cstheme="minorHAnsi"/>
        </w:rPr>
      </w:pPr>
      <w:bookmarkStart w:id="1" w:name="_Toc125110251"/>
      <w:bookmarkStart w:id="2" w:name="_Toc125478252"/>
      <w:r w:rsidRPr="00436869">
        <w:rPr>
          <w:rFonts w:asciiTheme="minorHAnsi" w:hAnsiTheme="minorHAnsi" w:cstheme="minorHAnsi"/>
        </w:rPr>
        <w:t>Background</w:t>
      </w:r>
      <w:bookmarkEnd w:id="1"/>
      <w:bookmarkEnd w:id="2"/>
    </w:p>
    <w:p w14:paraId="23FD932B" w14:textId="465BCB18" w:rsidR="0092059A" w:rsidRPr="00436869" w:rsidRDefault="0092059A" w:rsidP="0092059A">
      <w:pPr>
        <w:spacing w:line="360" w:lineRule="auto"/>
        <w:jc w:val="both"/>
        <w:rPr>
          <w:rFonts w:asciiTheme="minorHAnsi" w:hAnsiTheme="minorHAnsi" w:cstheme="minorHAnsi"/>
          <w:sz w:val="24"/>
          <w:szCs w:val="24"/>
        </w:rPr>
      </w:pPr>
      <w:r w:rsidRPr="00436869">
        <w:rPr>
          <w:rFonts w:asciiTheme="minorHAnsi" w:hAnsiTheme="minorHAnsi" w:cstheme="minorHAnsi"/>
          <w:sz w:val="24"/>
          <w:szCs w:val="24"/>
        </w:rPr>
        <w:t xml:space="preserve">The Corporate Sustainability Reporting Directive (CSRD) arises from the European Green Deal’s climate change action objectives, to further enhance the disclosure by companies on climate and environmental data. The proposal for a directive was published in April 2021 and following negotiations by the European Council and the European Parliament, </w:t>
      </w:r>
      <w:r w:rsidRPr="00436869">
        <w:rPr>
          <w:rFonts w:asciiTheme="minorHAnsi" w:hAnsiTheme="minorHAnsi" w:cstheme="minorHAnsi"/>
          <w:sz w:val="24"/>
          <w:szCs w:val="24"/>
        </w:rPr>
        <w:lastRenderedPageBreak/>
        <w:t xml:space="preserve">the agreed directive was published in the EU’s official journal on the </w:t>
      </w:r>
      <w:r w:rsidR="00F00772">
        <w:rPr>
          <w:rFonts w:asciiTheme="minorHAnsi" w:hAnsiTheme="minorHAnsi" w:cstheme="minorHAnsi"/>
          <w:sz w:val="24"/>
          <w:szCs w:val="24"/>
        </w:rPr>
        <w:t>16</w:t>
      </w:r>
      <w:r w:rsidR="00F00772" w:rsidRPr="00EF27AC">
        <w:rPr>
          <w:rFonts w:asciiTheme="minorHAnsi" w:hAnsiTheme="minorHAnsi" w:cstheme="minorHAnsi"/>
          <w:sz w:val="24"/>
          <w:szCs w:val="24"/>
          <w:vertAlign w:val="superscript"/>
        </w:rPr>
        <w:t>th</w:t>
      </w:r>
      <w:r w:rsidRPr="00436869">
        <w:rPr>
          <w:rFonts w:asciiTheme="minorHAnsi" w:hAnsiTheme="minorHAnsi" w:cstheme="minorHAnsi"/>
          <w:sz w:val="24"/>
          <w:szCs w:val="24"/>
        </w:rPr>
        <w:t xml:space="preserve"> of December 2022. </w:t>
      </w:r>
    </w:p>
    <w:p w14:paraId="5203ACB1" w14:textId="77777777" w:rsidR="0092059A" w:rsidRPr="00436869" w:rsidRDefault="0092059A" w:rsidP="0092059A">
      <w:pPr>
        <w:spacing w:line="360" w:lineRule="auto"/>
        <w:jc w:val="both"/>
        <w:rPr>
          <w:rFonts w:asciiTheme="minorHAnsi" w:hAnsiTheme="minorHAnsi" w:cstheme="minorHAnsi"/>
          <w:sz w:val="24"/>
          <w:szCs w:val="24"/>
        </w:rPr>
      </w:pPr>
      <w:r w:rsidRPr="00436869">
        <w:rPr>
          <w:rFonts w:asciiTheme="minorHAnsi" w:hAnsiTheme="minorHAnsi" w:cstheme="minorHAnsi"/>
          <w:sz w:val="24"/>
          <w:szCs w:val="24"/>
        </w:rPr>
        <w:t>It expands the scope of the existing rules for non-financial reporting by very large companies and public-interest entities</w:t>
      </w:r>
      <w:r w:rsidRPr="00436869">
        <w:rPr>
          <w:rFonts w:asciiTheme="minorHAnsi" w:hAnsiTheme="minorHAnsi" w:cstheme="minorHAnsi"/>
          <w:sz w:val="20"/>
          <w:szCs w:val="20"/>
          <w:vertAlign w:val="superscript"/>
        </w:rPr>
        <w:footnoteReference w:id="3"/>
      </w:r>
      <w:r w:rsidRPr="00436869">
        <w:rPr>
          <w:rFonts w:asciiTheme="minorHAnsi" w:hAnsiTheme="minorHAnsi" w:cstheme="minorHAnsi"/>
          <w:sz w:val="24"/>
          <w:szCs w:val="24"/>
        </w:rPr>
        <w:t xml:space="preserve"> to large companies, large public-interest entities, and listed SMEs (excluding micros) on a main EU stock market. It introduces mandatory reporting standards developed by EFRAG (European Financial Reporting Advisory Group) which will be adopted by the EU Commission by way of a delegated procedure. The first standards shall be adopted at the latest by June 2023.</w:t>
      </w:r>
    </w:p>
    <w:p w14:paraId="7204D47F" w14:textId="69BAB4BD" w:rsidR="0092059A" w:rsidRPr="00436869" w:rsidRDefault="0092059A" w:rsidP="0092059A">
      <w:pPr>
        <w:spacing w:line="360" w:lineRule="auto"/>
        <w:jc w:val="both"/>
        <w:rPr>
          <w:rFonts w:asciiTheme="minorHAnsi" w:hAnsiTheme="minorHAnsi" w:cstheme="minorHAnsi"/>
          <w:sz w:val="24"/>
          <w:szCs w:val="24"/>
        </w:rPr>
      </w:pPr>
      <w:r w:rsidRPr="00436869">
        <w:rPr>
          <w:rFonts w:asciiTheme="minorHAnsi" w:hAnsiTheme="minorHAnsi" w:cstheme="minorHAnsi"/>
          <w:sz w:val="24"/>
          <w:szCs w:val="24"/>
        </w:rPr>
        <w:t>Companies in scope will be required to report annually in their management/directors’ report on environmental, social and governance (ESG) and human rights matters according to the EU mandatory standards to be known as the European Sustainability Reporting Standards</w:t>
      </w:r>
      <w:r w:rsidRPr="00436869">
        <w:rPr>
          <w:rFonts w:asciiTheme="minorHAnsi" w:hAnsiTheme="minorHAnsi" w:cstheme="minorHAnsi"/>
          <w:b/>
          <w:bCs/>
          <w:sz w:val="20"/>
          <w:szCs w:val="20"/>
          <w:vertAlign w:val="superscript"/>
        </w:rPr>
        <w:footnoteReference w:id="4"/>
      </w:r>
      <w:r w:rsidRPr="00436869">
        <w:rPr>
          <w:rFonts w:asciiTheme="minorHAnsi" w:hAnsiTheme="minorHAnsi" w:cstheme="minorHAnsi"/>
          <w:sz w:val="24"/>
          <w:szCs w:val="24"/>
        </w:rPr>
        <w:t>. Sustainability information will be subject to a limited assurance (audit) until the adoption of reasonable assurance standards by the Commission</w:t>
      </w:r>
      <w:r w:rsidR="00AD0F97">
        <w:rPr>
          <w:rFonts w:asciiTheme="minorHAnsi" w:hAnsiTheme="minorHAnsi" w:cstheme="minorHAnsi"/>
          <w:sz w:val="24"/>
          <w:szCs w:val="24"/>
        </w:rPr>
        <w:t>.</w:t>
      </w:r>
      <w:r w:rsidRPr="00436869">
        <w:rPr>
          <w:rFonts w:asciiTheme="minorHAnsi" w:hAnsiTheme="minorHAnsi" w:cstheme="minorHAnsi"/>
          <w:sz w:val="24"/>
          <w:szCs w:val="24"/>
        </w:rPr>
        <w:t xml:space="preserve"> </w:t>
      </w:r>
    </w:p>
    <w:p w14:paraId="3E58EFF1" w14:textId="7AFFF504" w:rsidR="0092059A" w:rsidRPr="00436869" w:rsidRDefault="0092059A" w:rsidP="0092059A">
      <w:pPr>
        <w:spacing w:line="360" w:lineRule="auto"/>
        <w:jc w:val="both"/>
        <w:rPr>
          <w:rFonts w:asciiTheme="minorHAnsi" w:hAnsiTheme="minorHAnsi" w:cstheme="minorHAnsi"/>
          <w:sz w:val="24"/>
          <w:szCs w:val="24"/>
        </w:rPr>
      </w:pPr>
      <w:r w:rsidRPr="00436869">
        <w:rPr>
          <w:rFonts w:asciiTheme="minorHAnsi" w:hAnsiTheme="minorHAnsi" w:cstheme="minorHAnsi"/>
          <w:sz w:val="24"/>
          <w:szCs w:val="24"/>
        </w:rPr>
        <w:t>Ireland and other Member States now have 18 months to transpose the Directive i.e., July 2024</w:t>
      </w:r>
      <w:r w:rsidR="00C36AD8">
        <w:rPr>
          <w:rStyle w:val="FootnoteReference"/>
          <w:rFonts w:cstheme="minorHAnsi"/>
          <w:szCs w:val="24"/>
        </w:rPr>
        <w:footnoteReference w:id="5"/>
      </w:r>
      <w:r w:rsidRPr="00436869">
        <w:rPr>
          <w:rFonts w:asciiTheme="minorHAnsi" w:hAnsiTheme="minorHAnsi" w:cstheme="minorHAnsi"/>
          <w:sz w:val="24"/>
          <w:szCs w:val="24"/>
        </w:rPr>
        <w:t xml:space="preserve">, with a view to mandatory requirements commencing for financial years on or after: </w:t>
      </w:r>
    </w:p>
    <w:p w14:paraId="74F9C84A" w14:textId="650FDF28" w:rsidR="0092059A" w:rsidRPr="00436869" w:rsidRDefault="0092059A" w:rsidP="0092059A">
      <w:pPr>
        <w:pStyle w:val="ListParagraph"/>
        <w:numPr>
          <w:ilvl w:val="0"/>
          <w:numId w:val="28"/>
        </w:numPr>
        <w:spacing w:line="360" w:lineRule="auto"/>
        <w:jc w:val="both"/>
        <w:rPr>
          <w:rFonts w:cstheme="minorHAnsi"/>
          <w:sz w:val="24"/>
          <w:szCs w:val="24"/>
        </w:rPr>
      </w:pPr>
      <w:r w:rsidRPr="00436869">
        <w:rPr>
          <w:rFonts w:cstheme="minorHAnsi"/>
          <w:sz w:val="24"/>
          <w:szCs w:val="24"/>
        </w:rPr>
        <w:t>1</w:t>
      </w:r>
      <w:r w:rsidR="00F00772" w:rsidRPr="00EF27AC">
        <w:rPr>
          <w:rFonts w:cstheme="minorHAnsi"/>
          <w:sz w:val="24"/>
          <w:szCs w:val="24"/>
          <w:vertAlign w:val="superscript"/>
        </w:rPr>
        <w:t>st</w:t>
      </w:r>
      <w:r w:rsidRPr="00436869">
        <w:rPr>
          <w:rFonts w:cstheme="minorHAnsi"/>
          <w:sz w:val="24"/>
          <w:szCs w:val="24"/>
        </w:rPr>
        <w:t xml:space="preserve"> January 2024 for companies and public interest entities in scope of the existing rules (greater than 500 employees)</w:t>
      </w:r>
      <w:r w:rsidR="00FE2E2C">
        <w:rPr>
          <w:rStyle w:val="FootnoteReference"/>
          <w:rFonts w:cstheme="minorHAnsi"/>
          <w:szCs w:val="24"/>
        </w:rPr>
        <w:footnoteReference w:id="6"/>
      </w:r>
      <w:r w:rsidRPr="00436869">
        <w:rPr>
          <w:rFonts w:cstheme="minorHAnsi"/>
          <w:sz w:val="24"/>
          <w:szCs w:val="24"/>
        </w:rPr>
        <w:t>;</w:t>
      </w:r>
    </w:p>
    <w:p w14:paraId="2D85B39F" w14:textId="5F56AC6F" w:rsidR="0092059A" w:rsidRPr="00436869" w:rsidRDefault="0092059A" w:rsidP="0092059A">
      <w:pPr>
        <w:pStyle w:val="ListParagraph"/>
        <w:numPr>
          <w:ilvl w:val="0"/>
          <w:numId w:val="28"/>
        </w:numPr>
        <w:spacing w:line="360" w:lineRule="auto"/>
        <w:jc w:val="both"/>
        <w:rPr>
          <w:rFonts w:cstheme="minorHAnsi"/>
          <w:sz w:val="24"/>
          <w:szCs w:val="24"/>
        </w:rPr>
      </w:pPr>
      <w:r w:rsidRPr="00436869">
        <w:rPr>
          <w:rFonts w:cstheme="minorHAnsi"/>
          <w:sz w:val="24"/>
          <w:szCs w:val="24"/>
        </w:rPr>
        <w:t>1</w:t>
      </w:r>
      <w:r w:rsidR="00F00772" w:rsidRPr="00EF27AC">
        <w:rPr>
          <w:rFonts w:cstheme="minorHAnsi"/>
          <w:sz w:val="24"/>
          <w:szCs w:val="24"/>
          <w:vertAlign w:val="superscript"/>
        </w:rPr>
        <w:t>st</w:t>
      </w:r>
      <w:r w:rsidRPr="00436869">
        <w:rPr>
          <w:rFonts w:cstheme="minorHAnsi"/>
          <w:sz w:val="24"/>
          <w:szCs w:val="24"/>
        </w:rPr>
        <w:t xml:space="preserve"> January 2025 for other large companies and public interest entities (greater than 250 employees); and </w:t>
      </w:r>
    </w:p>
    <w:p w14:paraId="7D48B499" w14:textId="0E852BE6" w:rsidR="0092059A" w:rsidRPr="00436869" w:rsidRDefault="0092059A" w:rsidP="0092059A">
      <w:pPr>
        <w:pStyle w:val="ListParagraph"/>
        <w:numPr>
          <w:ilvl w:val="0"/>
          <w:numId w:val="28"/>
        </w:numPr>
        <w:spacing w:line="360" w:lineRule="auto"/>
        <w:jc w:val="both"/>
        <w:rPr>
          <w:rFonts w:cstheme="minorHAnsi"/>
          <w:sz w:val="24"/>
          <w:szCs w:val="24"/>
        </w:rPr>
      </w:pPr>
      <w:r w:rsidRPr="00436869">
        <w:rPr>
          <w:rFonts w:cstheme="minorHAnsi"/>
          <w:sz w:val="24"/>
          <w:szCs w:val="24"/>
        </w:rPr>
        <w:lastRenderedPageBreak/>
        <w:t>1</w:t>
      </w:r>
      <w:r w:rsidR="00F00772" w:rsidRPr="00EF27AC">
        <w:rPr>
          <w:rFonts w:cstheme="minorHAnsi"/>
          <w:sz w:val="24"/>
          <w:szCs w:val="24"/>
          <w:vertAlign w:val="superscript"/>
        </w:rPr>
        <w:t>st</w:t>
      </w:r>
      <w:r w:rsidRPr="00436869">
        <w:rPr>
          <w:rFonts w:cstheme="minorHAnsi"/>
          <w:sz w:val="24"/>
          <w:szCs w:val="24"/>
        </w:rPr>
        <w:t xml:space="preserve"> January 2026 for listed SMEs, with an ‘opt out’ possible until 2028.</w:t>
      </w:r>
    </w:p>
    <w:p w14:paraId="6945499D" w14:textId="49227C57" w:rsidR="0092059A" w:rsidRPr="0075716E" w:rsidRDefault="0075716E" w:rsidP="0075716E">
      <w:pPr>
        <w:pStyle w:val="ListParagraph"/>
        <w:numPr>
          <w:ilvl w:val="0"/>
          <w:numId w:val="28"/>
        </w:numPr>
        <w:spacing w:line="360" w:lineRule="auto"/>
        <w:jc w:val="both"/>
        <w:rPr>
          <w:rFonts w:cstheme="minorHAnsi"/>
          <w:sz w:val="24"/>
          <w:szCs w:val="24"/>
        </w:rPr>
      </w:pPr>
      <w:r w:rsidRPr="0075716E">
        <w:rPr>
          <w:rFonts w:cstheme="minorHAnsi"/>
          <w:sz w:val="24"/>
          <w:szCs w:val="24"/>
        </w:rPr>
        <w:t>1 January 2028 for su</w:t>
      </w:r>
      <w:r w:rsidR="0092059A" w:rsidRPr="0075716E">
        <w:rPr>
          <w:rFonts w:cstheme="minorHAnsi"/>
          <w:sz w:val="24"/>
          <w:szCs w:val="24"/>
        </w:rPr>
        <w:t>bsidiar</w:t>
      </w:r>
      <w:r w:rsidRPr="0075716E">
        <w:rPr>
          <w:rFonts w:cstheme="minorHAnsi"/>
          <w:sz w:val="24"/>
          <w:szCs w:val="24"/>
        </w:rPr>
        <w:t>y</w:t>
      </w:r>
      <w:r w:rsidR="0092059A" w:rsidRPr="0075716E">
        <w:rPr>
          <w:rFonts w:cstheme="minorHAnsi"/>
          <w:sz w:val="24"/>
          <w:szCs w:val="24"/>
        </w:rPr>
        <w:t xml:space="preserve"> </w:t>
      </w:r>
      <w:r w:rsidR="00C36AD8" w:rsidRPr="0075716E">
        <w:rPr>
          <w:rFonts w:cstheme="minorHAnsi"/>
          <w:sz w:val="24"/>
          <w:szCs w:val="24"/>
        </w:rPr>
        <w:t xml:space="preserve">undertakings </w:t>
      </w:r>
      <w:r w:rsidR="0092059A" w:rsidRPr="0075716E">
        <w:rPr>
          <w:rFonts w:cstheme="minorHAnsi"/>
          <w:sz w:val="24"/>
          <w:szCs w:val="24"/>
        </w:rPr>
        <w:t>and branches</w:t>
      </w:r>
      <w:r w:rsidR="00C36AD8" w:rsidRPr="0075716E">
        <w:rPr>
          <w:rFonts w:cstheme="minorHAnsi"/>
          <w:sz w:val="24"/>
          <w:szCs w:val="24"/>
        </w:rPr>
        <w:t xml:space="preserve"> </w:t>
      </w:r>
      <w:r w:rsidR="0092059A" w:rsidRPr="0075716E">
        <w:rPr>
          <w:rFonts w:cstheme="minorHAnsi"/>
          <w:sz w:val="24"/>
          <w:szCs w:val="24"/>
        </w:rPr>
        <w:t>of non-EU companies</w:t>
      </w:r>
      <w:r w:rsidR="00C36AD8" w:rsidRPr="0075716E">
        <w:rPr>
          <w:rFonts w:cstheme="minorHAnsi"/>
          <w:sz w:val="24"/>
          <w:szCs w:val="24"/>
        </w:rPr>
        <w:t xml:space="preserve"> </w:t>
      </w:r>
    </w:p>
    <w:p w14:paraId="22260BF1" w14:textId="77777777" w:rsidR="0092059A" w:rsidRPr="00436869" w:rsidRDefault="0092059A" w:rsidP="0092059A">
      <w:pPr>
        <w:pStyle w:val="Heading2"/>
        <w:numPr>
          <w:ilvl w:val="0"/>
          <w:numId w:val="29"/>
        </w:numPr>
        <w:tabs>
          <w:tab w:val="num" w:pos="360"/>
        </w:tabs>
        <w:ind w:left="0" w:firstLine="0"/>
        <w:jc w:val="both"/>
        <w:rPr>
          <w:rFonts w:asciiTheme="minorHAnsi" w:hAnsiTheme="minorHAnsi" w:cstheme="minorHAnsi"/>
        </w:rPr>
      </w:pPr>
      <w:bookmarkStart w:id="3" w:name="_Toc125110252"/>
      <w:bookmarkStart w:id="4" w:name="_Toc125478253"/>
      <w:r w:rsidRPr="00436869">
        <w:rPr>
          <w:rFonts w:asciiTheme="minorHAnsi" w:hAnsiTheme="minorHAnsi" w:cstheme="minorHAnsi"/>
        </w:rPr>
        <w:t>Member State Options</w:t>
      </w:r>
      <w:bookmarkEnd w:id="3"/>
      <w:bookmarkEnd w:id="4"/>
      <w:r w:rsidRPr="00436869">
        <w:rPr>
          <w:rFonts w:asciiTheme="minorHAnsi" w:hAnsiTheme="minorHAnsi" w:cstheme="minorHAnsi"/>
        </w:rPr>
        <w:t xml:space="preserve"> </w:t>
      </w:r>
    </w:p>
    <w:p w14:paraId="28A4D25A" w14:textId="76861537" w:rsidR="0092059A" w:rsidRPr="00436869" w:rsidRDefault="0092059A" w:rsidP="0092059A">
      <w:pPr>
        <w:spacing w:line="360" w:lineRule="auto"/>
        <w:jc w:val="both"/>
        <w:rPr>
          <w:rFonts w:asciiTheme="minorHAnsi" w:hAnsiTheme="minorHAnsi" w:cstheme="minorHAnsi"/>
          <w:sz w:val="24"/>
          <w:szCs w:val="24"/>
        </w:rPr>
      </w:pPr>
      <w:r w:rsidRPr="00436869">
        <w:rPr>
          <w:rFonts w:asciiTheme="minorHAnsi" w:hAnsiTheme="minorHAnsi" w:cstheme="minorHAnsi"/>
          <w:sz w:val="24"/>
          <w:szCs w:val="24"/>
        </w:rPr>
        <w:t xml:space="preserve">The Department requests the views of interested parties </w:t>
      </w:r>
      <w:proofErr w:type="gramStart"/>
      <w:r w:rsidRPr="00436869">
        <w:rPr>
          <w:rFonts w:asciiTheme="minorHAnsi" w:hAnsiTheme="minorHAnsi" w:cstheme="minorHAnsi"/>
          <w:sz w:val="24"/>
          <w:szCs w:val="24"/>
        </w:rPr>
        <w:t>with regard to</w:t>
      </w:r>
      <w:proofErr w:type="gramEnd"/>
      <w:r w:rsidR="00F00772">
        <w:rPr>
          <w:rFonts w:asciiTheme="minorHAnsi" w:hAnsiTheme="minorHAnsi" w:cstheme="minorHAnsi"/>
          <w:sz w:val="24"/>
          <w:szCs w:val="24"/>
        </w:rPr>
        <w:t xml:space="preserve"> the</w:t>
      </w:r>
      <w:r w:rsidRPr="00436869">
        <w:rPr>
          <w:rFonts w:asciiTheme="minorHAnsi" w:hAnsiTheme="minorHAnsi" w:cstheme="minorHAnsi"/>
          <w:sz w:val="24"/>
          <w:szCs w:val="24"/>
        </w:rPr>
        <w:t xml:space="preserve"> Member State options </w:t>
      </w:r>
      <w:r w:rsidR="00F00772">
        <w:rPr>
          <w:rFonts w:asciiTheme="minorHAnsi" w:hAnsiTheme="minorHAnsi" w:cstheme="minorHAnsi"/>
          <w:sz w:val="24"/>
          <w:szCs w:val="24"/>
        </w:rPr>
        <w:t xml:space="preserve">set out </w:t>
      </w:r>
      <w:r w:rsidRPr="00436869">
        <w:rPr>
          <w:rFonts w:asciiTheme="minorHAnsi" w:hAnsiTheme="minorHAnsi" w:cstheme="minorHAnsi"/>
          <w:sz w:val="24"/>
          <w:szCs w:val="24"/>
        </w:rPr>
        <w:t xml:space="preserve">in Appendix I. </w:t>
      </w:r>
      <w:r w:rsidR="00287A98" w:rsidRPr="00436869">
        <w:rPr>
          <w:rFonts w:asciiTheme="minorHAnsi" w:hAnsiTheme="minorHAnsi" w:cstheme="minorHAnsi"/>
          <w:sz w:val="24"/>
          <w:szCs w:val="24"/>
        </w:rPr>
        <w:t>I</w:t>
      </w:r>
      <w:r w:rsidRPr="00436869">
        <w:rPr>
          <w:rFonts w:asciiTheme="minorHAnsi" w:hAnsiTheme="minorHAnsi" w:cstheme="minorHAnsi"/>
          <w:sz w:val="24"/>
          <w:szCs w:val="24"/>
        </w:rPr>
        <w:t>t is not consulting on the balance of the Directive, which ha</w:t>
      </w:r>
      <w:r w:rsidR="005B3775">
        <w:rPr>
          <w:rFonts w:asciiTheme="minorHAnsi" w:hAnsiTheme="minorHAnsi" w:cstheme="minorHAnsi"/>
          <w:sz w:val="24"/>
          <w:szCs w:val="24"/>
        </w:rPr>
        <w:t>s</w:t>
      </w:r>
      <w:r w:rsidRPr="00436869">
        <w:rPr>
          <w:rFonts w:asciiTheme="minorHAnsi" w:hAnsiTheme="minorHAnsi" w:cstheme="minorHAnsi"/>
          <w:sz w:val="24"/>
          <w:szCs w:val="24"/>
        </w:rPr>
        <w:t xml:space="preserve"> direct effect/mandatory applicability and Member States have no discretion in this regard. However, your comments and questions on all aspects of the Directive are also requested to </w:t>
      </w:r>
      <w:r w:rsidR="004D0B77">
        <w:rPr>
          <w:rFonts w:asciiTheme="minorHAnsi" w:hAnsiTheme="minorHAnsi" w:cstheme="minorHAnsi"/>
          <w:sz w:val="24"/>
          <w:szCs w:val="24"/>
        </w:rPr>
        <w:t>inform the Department’s work on the transposition and future policy developments in the area</w:t>
      </w:r>
      <w:r w:rsidRPr="00436869">
        <w:rPr>
          <w:rFonts w:asciiTheme="minorHAnsi" w:hAnsiTheme="minorHAnsi" w:cstheme="minorHAnsi"/>
          <w:sz w:val="24"/>
          <w:szCs w:val="24"/>
        </w:rPr>
        <w:t>.</w:t>
      </w:r>
    </w:p>
    <w:p w14:paraId="56268A34" w14:textId="77777777" w:rsidR="0092059A" w:rsidRPr="00436869" w:rsidRDefault="0092059A" w:rsidP="0092059A">
      <w:pPr>
        <w:pStyle w:val="Heading2"/>
        <w:numPr>
          <w:ilvl w:val="0"/>
          <w:numId w:val="29"/>
        </w:numPr>
        <w:tabs>
          <w:tab w:val="num" w:pos="360"/>
        </w:tabs>
        <w:ind w:left="0" w:firstLine="0"/>
        <w:jc w:val="both"/>
        <w:rPr>
          <w:rFonts w:asciiTheme="minorHAnsi" w:hAnsiTheme="minorHAnsi" w:cstheme="minorHAnsi"/>
        </w:rPr>
      </w:pPr>
      <w:bookmarkStart w:id="5" w:name="_Toc125110253"/>
      <w:bookmarkStart w:id="6" w:name="_Toc125478254"/>
      <w:r w:rsidRPr="00436869">
        <w:rPr>
          <w:rFonts w:asciiTheme="minorHAnsi" w:hAnsiTheme="minorHAnsi" w:cstheme="minorHAnsi"/>
        </w:rPr>
        <w:t>Consultation Responses</w:t>
      </w:r>
      <w:bookmarkEnd w:id="5"/>
      <w:bookmarkEnd w:id="6"/>
    </w:p>
    <w:p w14:paraId="1F90DFFC" w14:textId="77777777" w:rsidR="0092059A" w:rsidRPr="00436869" w:rsidRDefault="0092059A" w:rsidP="0092059A">
      <w:pPr>
        <w:spacing w:line="360" w:lineRule="auto"/>
        <w:jc w:val="both"/>
        <w:rPr>
          <w:rFonts w:asciiTheme="minorHAnsi" w:hAnsiTheme="minorHAnsi" w:cstheme="minorHAnsi"/>
          <w:sz w:val="24"/>
          <w:szCs w:val="24"/>
        </w:rPr>
      </w:pPr>
      <w:r w:rsidRPr="00436869">
        <w:rPr>
          <w:rFonts w:asciiTheme="minorHAnsi" w:hAnsiTheme="minorHAnsi" w:cstheme="minorHAnsi"/>
          <w:sz w:val="24"/>
          <w:szCs w:val="24"/>
        </w:rPr>
        <w:t>Stakeholder views are welcomed from all interested parties, including companies in scope, non-governmental organisations, the research community and beyond. We ask that respondents structure their responses according to the Member State Options outlined, responding to one or more of them as appropriate. Respondents are also encouraged to provide any other views they may have on the transposition process or directive in general.</w:t>
      </w:r>
    </w:p>
    <w:p w14:paraId="186F09DB" w14:textId="77777777" w:rsidR="0092059A" w:rsidRPr="00436869" w:rsidRDefault="0092059A" w:rsidP="0092059A">
      <w:pPr>
        <w:pStyle w:val="Heading2"/>
        <w:numPr>
          <w:ilvl w:val="0"/>
          <w:numId w:val="29"/>
        </w:numPr>
        <w:tabs>
          <w:tab w:val="num" w:pos="360"/>
        </w:tabs>
        <w:ind w:left="0" w:firstLine="0"/>
        <w:jc w:val="both"/>
        <w:rPr>
          <w:rFonts w:asciiTheme="minorHAnsi" w:hAnsiTheme="minorHAnsi" w:cstheme="minorHAnsi"/>
        </w:rPr>
      </w:pPr>
      <w:bookmarkStart w:id="7" w:name="_Toc125110254"/>
      <w:bookmarkStart w:id="8" w:name="_Toc125478255"/>
      <w:r w:rsidRPr="00436869">
        <w:rPr>
          <w:rFonts w:asciiTheme="minorHAnsi" w:hAnsiTheme="minorHAnsi" w:cstheme="minorHAnsi"/>
        </w:rPr>
        <w:t>Information on Consultation Process</w:t>
      </w:r>
      <w:bookmarkEnd w:id="7"/>
      <w:bookmarkEnd w:id="8"/>
      <w:r w:rsidRPr="00436869">
        <w:rPr>
          <w:rFonts w:asciiTheme="minorHAnsi" w:hAnsiTheme="minorHAnsi" w:cstheme="minorHAnsi"/>
        </w:rPr>
        <w:t xml:space="preserve"> </w:t>
      </w:r>
    </w:p>
    <w:p w14:paraId="76D9C995" w14:textId="77777777" w:rsidR="0092059A" w:rsidRPr="00436869" w:rsidRDefault="0092059A" w:rsidP="0092059A">
      <w:pPr>
        <w:spacing w:after="0" w:line="360" w:lineRule="auto"/>
        <w:jc w:val="both"/>
        <w:rPr>
          <w:rFonts w:asciiTheme="minorHAnsi" w:hAnsiTheme="minorHAnsi" w:cstheme="minorHAnsi"/>
          <w:b/>
          <w:bCs/>
          <w:sz w:val="24"/>
          <w:szCs w:val="24"/>
        </w:rPr>
      </w:pPr>
      <w:r w:rsidRPr="00436869">
        <w:rPr>
          <w:rFonts w:asciiTheme="minorHAnsi" w:hAnsiTheme="minorHAnsi" w:cstheme="minorHAnsi"/>
          <w:b/>
          <w:bCs/>
          <w:sz w:val="24"/>
          <w:szCs w:val="24"/>
        </w:rPr>
        <w:t xml:space="preserve">Freedom of Information Act 2014 and Publication of Submissions </w:t>
      </w:r>
    </w:p>
    <w:p w14:paraId="1C174DB8" w14:textId="77777777" w:rsidR="0092059A" w:rsidRPr="00436869" w:rsidRDefault="0092059A" w:rsidP="0092059A">
      <w:pPr>
        <w:spacing w:after="0" w:line="360" w:lineRule="auto"/>
        <w:jc w:val="both"/>
        <w:rPr>
          <w:rFonts w:asciiTheme="minorHAnsi" w:hAnsiTheme="minorHAnsi" w:cstheme="minorHAnsi"/>
          <w:sz w:val="24"/>
          <w:szCs w:val="24"/>
        </w:rPr>
      </w:pPr>
      <w:r w:rsidRPr="00436869">
        <w:rPr>
          <w:rFonts w:asciiTheme="minorHAnsi" w:hAnsiTheme="minorHAnsi" w:cstheme="minorHAnsi"/>
          <w:sz w:val="24"/>
          <w:szCs w:val="24"/>
        </w:rPr>
        <w:t xml:space="preserve">The Department will make public on its website all submissions received under this consultation. Your attention is also drawn to the fact that information provided to the Department may be disclosed in response to a request under the </w:t>
      </w:r>
      <w:r w:rsidRPr="00F00772">
        <w:rPr>
          <w:rFonts w:asciiTheme="minorHAnsi" w:hAnsiTheme="minorHAnsi" w:cstheme="minorHAnsi"/>
          <w:i/>
          <w:iCs/>
          <w:sz w:val="24"/>
          <w:szCs w:val="24"/>
        </w:rPr>
        <w:t>Freedom of Information Act 2014</w:t>
      </w:r>
      <w:r w:rsidRPr="00436869">
        <w:rPr>
          <w:rFonts w:asciiTheme="minorHAnsi" w:hAnsiTheme="minorHAnsi" w:cstheme="minorHAnsi"/>
          <w:sz w:val="24"/>
          <w:szCs w:val="24"/>
        </w:rPr>
        <w:t xml:space="preserve">. Therefore, should you consider that any information you provide is commercially sensitive, please identify same, and specify the reason for its sensitivity. The </w:t>
      </w:r>
      <w:r w:rsidRPr="00436869">
        <w:rPr>
          <w:rFonts w:asciiTheme="minorHAnsi" w:hAnsiTheme="minorHAnsi" w:cstheme="minorHAnsi"/>
          <w:sz w:val="24"/>
          <w:szCs w:val="24"/>
        </w:rPr>
        <w:lastRenderedPageBreak/>
        <w:t>Department will consult with you regarding information identified by you as sensitive before publishing or otherwise disclosing it.</w:t>
      </w:r>
    </w:p>
    <w:p w14:paraId="450D5799" w14:textId="77777777" w:rsidR="0092059A" w:rsidRPr="00436869" w:rsidRDefault="0092059A" w:rsidP="0092059A">
      <w:pPr>
        <w:pStyle w:val="Heading2"/>
        <w:numPr>
          <w:ilvl w:val="0"/>
          <w:numId w:val="29"/>
        </w:numPr>
        <w:tabs>
          <w:tab w:val="num" w:pos="360"/>
        </w:tabs>
        <w:ind w:left="0" w:firstLine="0"/>
        <w:jc w:val="both"/>
        <w:rPr>
          <w:rFonts w:asciiTheme="minorHAnsi" w:hAnsiTheme="minorHAnsi" w:cstheme="minorHAnsi"/>
        </w:rPr>
      </w:pPr>
      <w:bookmarkStart w:id="9" w:name="_Toc125110255"/>
      <w:bookmarkStart w:id="10" w:name="_Toc125478256"/>
      <w:r w:rsidRPr="00436869">
        <w:rPr>
          <w:rFonts w:asciiTheme="minorHAnsi" w:hAnsiTheme="minorHAnsi" w:cstheme="minorHAnsi"/>
        </w:rPr>
        <w:t>General Data Protection Regulation</w:t>
      </w:r>
      <w:bookmarkEnd w:id="9"/>
      <w:bookmarkEnd w:id="10"/>
      <w:r w:rsidRPr="00436869">
        <w:rPr>
          <w:rFonts w:asciiTheme="minorHAnsi" w:hAnsiTheme="minorHAnsi" w:cstheme="minorHAnsi"/>
        </w:rPr>
        <w:t xml:space="preserve"> </w:t>
      </w:r>
    </w:p>
    <w:p w14:paraId="2BE65490" w14:textId="0BC5942A" w:rsidR="0092059A" w:rsidRDefault="0092059A" w:rsidP="0092059A">
      <w:pPr>
        <w:spacing w:after="0" w:line="360" w:lineRule="auto"/>
        <w:jc w:val="both"/>
        <w:rPr>
          <w:rFonts w:asciiTheme="minorHAnsi" w:hAnsiTheme="minorHAnsi" w:cstheme="minorHAnsi"/>
          <w:sz w:val="24"/>
          <w:szCs w:val="24"/>
        </w:rPr>
      </w:pPr>
      <w:r w:rsidRPr="00436869">
        <w:rPr>
          <w:rFonts w:asciiTheme="minorHAnsi" w:hAnsiTheme="minorHAnsi" w:cstheme="minorHAnsi"/>
          <w:sz w:val="24"/>
          <w:szCs w:val="24"/>
        </w:rPr>
        <w:t xml:space="preserve">Respondents should note that the General Data Protection Regulation (‘GDPR’) entered into force in Ireland on 25th May 2018 and it is intended to give individuals more control over their personal data. The key principles under the Regulation are as follows: </w:t>
      </w:r>
    </w:p>
    <w:p w14:paraId="35D1B972" w14:textId="77777777" w:rsidR="0075716E" w:rsidRPr="00436869" w:rsidRDefault="0075716E" w:rsidP="0092059A">
      <w:pPr>
        <w:spacing w:after="0" w:line="360" w:lineRule="auto"/>
        <w:jc w:val="both"/>
        <w:rPr>
          <w:rFonts w:asciiTheme="minorHAnsi" w:hAnsiTheme="minorHAnsi" w:cstheme="minorHAnsi"/>
          <w:sz w:val="24"/>
          <w:szCs w:val="24"/>
        </w:rPr>
      </w:pPr>
    </w:p>
    <w:p w14:paraId="3E46D2D5" w14:textId="77777777" w:rsidR="0092059A" w:rsidRPr="00436869" w:rsidRDefault="0092059A" w:rsidP="0092059A">
      <w:pPr>
        <w:spacing w:after="0" w:line="360" w:lineRule="auto"/>
        <w:jc w:val="both"/>
        <w:rPr>
          <w:rFonts w:asciiTheme="minorHAnsi" w:hAnsiTheme="minorHAnsi" w:cstheme="minorHAnsi"/>
          <w:sz w:val="24"/>
          <w:szCs w:val="24"/>
        </w:rPr>
      </w:pPr>
      <w:r w:rsidRPr="00436869">
        <w:rPr>
          <w:rFonts w:asciiTheme="minorHAnsi" w:hAnsiTheme="minorHAnsi" w:cstheme="minorHAnsi"/>
          <w:sz w:val="24"/>
          <w:szCs w:val="24"/>
        </w:rPr>
        <w:t xml:space="preserve">• Lawfulness, fairness and </w:t>
      </w:r>
      <w:proofErr w:type="gramStart"/>
      <w:r w:rsidRPr="00436869">
        <w:rPr>
          <w:rFonts w:asciiTheme="minorHAnsi" w:hAnsiTheme="minorHAnsi" w:cstheme="minorHAnsi"/>
          <w:sz w:val="24"/>
          <w:szCs w:val="24"/>
        </w:rPr>
        <w:t>transparency;</w:t>
      </w:r>
      <w:proofErr w:type="gramEnd"/>
      <w:r w:rsidRPr="00436869">
        <w:rPr>
          <w:rFonts w:asciiTheme="minorHAnsi" w:hAnsiTheme="minorHAnsi" w:cstheme="minorHAnsi"/>
          <w:sz w:val="24"/>
          <w:szCs w:val="24"/>
        </w:rPr>
        <w:t xml:space="preserve"> </w:t>
      </w:r>
    </w:p>
    <w:p w14:paraId="3E1309E6" w14:textId="77777777" w:rsidR="0092059A" w:rsidRPr="00436869" w:rsidRDefault="0092059A" w:rsidP="0092059A">
      <w:pPr>
        <w:spacing w:after="0" w:line="360" w:lineRule="auto"/>
        <w:jc w:val="both"/>
        <w:rPr>
          <w:rFonts w:asciiTheme="minorHAnsi" w:hAnsiTheme="minorHAnsi" w:cstheme="minorHAnsi"/>
          <w:sz w:val="24"/>
          <w:szCs w:val="24"/>
        </w:rPr>
      </w:pPr>
      <w:r w:rsidRPr="00436869">
        <w:rPr>
          <w:rFonts w:asciiTheme="minorHAnsi" w:hAnsiTheme="minorHAnsi" w:cstheme="minorHAnsi"/>
          <w:sz w:val="24"/>
          <w:szCs w:val="24"/>
        </w:rPr>
        <w:t xml:space="preserve">• Purpose </w:t>
      </w:r>
      <w:proofErr w:type="gramStart"/>
      <w:r w:rsidRPr="00436869">
        <w:rPr>
          <w:rFonts w:asciiTheme="minorHAnsi" w:hAnsiTheme="minorHAnsi" w:cstheme="minorHAnsi"/>
          <w:sz w:val="24"/>
          <w:szCs w:val="24"/>
        </w:rPr>
        <w:t>limitation;</w:t>
      </w:r>
      <w:proofErr w:type="gramEnd"/>
      <w:r w:rsidRPr="00436869">
        <w:rPr>
          <w:rFonts w:asciiTheme="minorHAnsi" w:hAnsiTheme="minorHAnsi" w:cstheme="minorHAnsi"/>
          <w:sz w:val="24"/>
          <w:szCs w:val="24"/>
        </w:rPr>
        <w:t xml:space="preserve"> </w:t>
      </w:r>
    </w:p>
    <w:p w14:paraId="7B6F9232" w14:textId="77777777" w:rsidR="0092059A" w:rsidRPr="00436869" w:rsidRDefault="0092059A" w:rsidP="0092059A">
      <w:pPr>
        <w:spacing w:after="0" w:line="360" w:lineRule="auto"/>
        <w:jc w:val="both"/>
        <w:rPr>
          <w:rFonts w:asciiTheme="minorHAnsi" w:hAnsiTheme="minorHAnsi" w:cstheme="minorHAnsi"/>
          <w:sz w:val="24"/>
          <w:szCs w:val="24"/>
        </w:rPr>
      </w:pPr>
      <w:r w:rsidRPr="00436869">
        <w:rPr>
          <w:rFonts w:asciiTheme="minorHAnsi" w:hAnsiTheme="minorHAnsi" w:cstheme="minorHAnsi"/>
          <w:sz w:val="24"/>
          <w:szCs w:val="24"/>
        </w:rPr>
        <w:t xml:space="preserve">• Data </w:t>
      </w:r>
      <w:proofErr w:type="spellStart"/>
      <w:proofErr w:type="gramStart"/>
      <w:r w:rsidRPr="00436869">
        <w:rPr>
          <w:rFonts w:asciiTheme="minorHAnsi" w:hAnsiTheme="minorHAnsi" w:cstheme="minorHAnsi"/>
          <w:sz w:val="24"/>
          <w:szCs w:val="24"/>
        </w:rPr>
        <w:t>minimisation</w:t>
      </w:r>
      <w:proofErr w:type="spellEnd"/>
      <w:r w:rsidRPr="00436869">
        <w:rPr>
          <w:rFonts w:asciiTheme="minorHAnsi" w:hAnsiTheme="minorHAnsi" w:cstheme="minorHAnsi"/>
          <w:sz w:val="24"/>
          <w:szCs w:val="24"/>
        </w:rPr>
        <w:t>;</w:t>
      </w:r>
      <w:proofErr w:type="gramEnd"/>
      <w:r w:rsidRPr="00436869">
        <w:rPr>
          <w:rFonts w:asciiTheme="minorHAnsi" w:hAnsiTheme="minorHAnsi" w:cstheme="minorHAnsi"/>
          <w:sz w:val="24"/>
          <w:szCs w:val="24"/>
        </w:rPr>
        <w:t xml:space="preserve"> </w:t>
      </w:r>
    </w:p>
    <w:p w14:paraId="0248799C" w14:textId="77777777" w:rsidR="0092059A" w:rsidRPr="00436869" w:rsidRDefault="0092059A" w:rsidP="0092059A">
      <w:pPr>
        <w:spacing w:after="0" w:line="360" w:lineRule="auto"/>
        <w:jc w:val="both"/>
        <w:rPr>
          <w:rFonts w:asciiTheme="minorHAnsi" w:hAnsiTheme="minorHAnsi" w:cstheme="minorHAnsi"/>
          <w:sz w:val="24"/>
          <w:szCs w:val="24"/>
        </w:rPr>
      </w:pPr>
      <w:r w:rsidRPr="00436869">
        <w:rPr>
          <w:rFonts w:asciiTheme="minorHAnsi" w:hAnsiTheme="minorHAnsi" w:cstheme="minorHAnsi"/>
          <w:sz w:val="24"/>
          <w:szCs w:val="24"/>
        </w:rPr>
        <w:t xml:space="preserve">• </w:t>
      </w:r>
      <w:proofErr w:type="gramStart"/>
      <w:r w:rsidRPr="00436869">
        <w:rPr>
          <w:rFonts w:asciiTheme="minorHAnsi" w:hAnsiTheme="minorHAnsi" w:cstheme="minorHAnsi"/>
          <w:sz w:val="24"/>
          <w:szCs w:val="24"/>
        </w:rPr>
        <w:t>Accuracy;</w:t>
      </w:r>
      <w:proofErr w:type="gramEnd"/>
    </w:p>
    <w:p w14:paraId="316E0973" w14:textId="77777777" w:rsidR="0092059A" w:rsidRPr="00436869" w:rsidRDefault="0092059A" w:rsidP="0092059A">
      <w:pPr>
        <w:spacing w:after="0" w:line="360" w:lineRule="auto"/>
        <w:jc w:val="both"/>
        <w:rPr>
          <w:rFonts w:asciiTheme="minorHAnsi" w:hAnsiTheme="minorHAnsi" w:cstheme="minorHAnsi"/>
          <w:sz w:val="24"/>
          <w:szCs w:val="24"/>
        </w:rPr>
      </w:pPr>
      <w:r w:rsidRPr="00436869">
        <w:rPr>
          <w:rFonts w:asciiTheme="minorHAnsi" w:hAnsiTheme="minorHAnsi" w:cstheme="minorHAnsi"/>
          <w:sz w:val="24"/>
          <w:szCs w:val="24"/>
        </w:rPr>
        <w:t xml:space="preserve">• Storage </w:t>
      </w:r>
      <w:proofErr w:type="gramStart"/>
      <w:r w:rsidRPr="00436869">
        <w:rPr>
          <w:rFonts w:asciiTheme="minorHAnsi" w:hAnsiTheme="minorHAnsi" w:cstheme="minorHAnsi"/>
          <w:sz w:val="24"/>
          <w:szCs w:val="24"/>
        </w:rPr>
        <w:t>limitation;</w:t>
      </w:r>
      <w:proofErr w:type="gramEnd"/>
      <w:r w:rsidRPr="00436869">
        <w:rPr>
          <w:rFonts w:asciiTheme="minorHAnsi" w:hAnsiTheme="minorHAnsi" w:cstheme="minorHAnsi"/>
          <w:sz w:val="24"/>
          <w:szCs w:val="24"/>
        </w:rPr>
        <w:t xml:space="preserve"> </w:t>
      </w:r>
    </w:p>
    <w:p w14:paraId="656D47F6" w14:textId="77777777" w:rsidR="0092059A" w:rsidRPr="00436869" w:rsidRDefault="0092059A" w:rsidP="0092059A">
      <w:pPr>
        <w:spacing w:after="0" w:line="360" w:lineRule="auto"/>
        <w:jc w:val="both"/>
        <w:rPr>
          <w:rFonts w:asciiTheme="minorHAnsi" w:hAnsiTheme="minorHAnsi" w:cstheme="minorHAnsi"/>
          <w:sz w:val="24"/>
          <w:szCs w:val="24"/>
        </w:rPr>
      </w:pPr>
      <w:r w:rsidRPr="00436869">
        <w:rPr>
          <w:rFonts w:asciiTheme="minorHAnsi" w:hAnsiTheme="minorHAnsi" w:cstheme="minorHAnsi"/>
          <w:sz w:val="24"/>
          <w:szCs w:val="24"/>
        </w:rPr>
        <w:t xml:space="preserve">• Integrity and </w:t>
      </w:r>
      <w:proofErr w:type="gramStart"/>
      <w:r w:rsidRPr="00436869">
        <w:rPr>
          <w:rFonts w:asciiTheme="minorHAnsi" w:hAnsiTheme="minorHAnsi" w:cstheme="minorHAnsi"/>
          <w:sz w:val="24"/>
          <w:szCs w:val="24"/>
        </w:rPr>
        <w:t>confidentiality;</w:t>
      </w:r>
      <w:proofErr w:type="gramEnd"/>
      <w:r w:rsidRPr="00436869">
        <w:rPr>
          <w:rFonts w:asciiTheme="minorHAnsi" w:hAnsiTheme="minorHAnsi" w:cstheme="minorHAnsi"/>
          <w:sz w:val="24"/>
          <w:szCs w:val="24"/>
        </w:rPr>
        <w:t xml:space="preserve"> </w:t>
      </w:r>
    </w:p>
    <w:p w14:paraId="2C6E8847" w14:textId="77777777" w:rsidR="0092059A" w:rsidRPr="00436869" w:rsidRDefault="0092059A" w:rsidP="0092059A">
      <w:pPr>
        <w:spacing w:after="0" w:line="360" w:lineRule="auto"/>
        <w:jc w:val="both"/>
        <w:rPr>
          <w:rFonts w:asciiTheme="minorHAnsi" w:hAnsiTheme="minorHAnsi" w:cstheme="minorHAnsi"/>
          <w:sz w:val="24"/>
          <w:szCs w:val="24"/>
        </w:rPr>
      </w:pPr>
      <w:r w:rsidRPr="00436869">
        <w:rPr>
          <w:rFonts w:asciiTheme="minorHAnsi" w:hAnsiTheme="minorHAnsi" w:cstheme="minorHAnsi"/>
          <w:sz w:val="24"/>
          <w:szCs w:val="24"/>
        </w:rPr>
        <w:t xml:space="preserve">• Accountability. </w:t>
      </w:r>
    </w:p>
    <w:p w14:paraId="0073F40C" w14:textId="77777777" w:rsidR="0075716E" w:rsidRDefault="0075716E" w:rsidP="0092059A">
      <w:pPr>
        <w:spacing w:after="0" w:line="360" w:lineRule="auto"/>
        <w:jc w:val="both"/>
        <w:rPr>
          <w:rFonts w:asciiTheme="minorHAnsi" w:hAnsiTheme="minorHAnsi" w:cstheme="minorHAnsi"/>
          <w:sz w:val="24"/>
          <w:szCs w:val="24"/>
        </w:rPr>
      </w:pPr>
    </w:p>
    <w:p w14:paraId="618C6AA1" w14:textId="49C40801" w:rsidR="0092059A" w:rsidRPr="00436869" w:rsidRDefault="0092059A" w:rsidP="0092059A">
      <w:pPr>
        <w:spacing w:after="0" w:line="360" w:lineRule="auto"/>
        <w:jc w:val="both"/>
        <w:rPr>
          <w:rFonts w:asciiTheme="minorHAnsi" w:hAnsiTheme="minorHAnsi" w:cstheme="minorHAnsi"/>
          <w:sz w:val="24"/>
          <w:szCs w:val="24"/>
        </w:rPr>
      </w:pPr>
      <w:r w:rsidRPr="00436869">
        <w:rPr>
          <w:rFonts w:asciiTheme="minorHAnsi" w:hAnsiTheme="minorHAnsi" w:cstheme="minorHAnsi"/>
          <w:sz w:val="24"/>
          <w:szCs w:val="24"/>
        </w:rPr>
        <w:t>The Department of Enterprise, Trade and Employment is subject to the provisions of the Regulation in relation to personal data collected by it from 25 May 2018. Any personal information which you volunteer to this Department, will be treated with the highest standards of security and confidentiality, strictly in accordance with the Data Protection Acts 1988 to 2018.</w:t>
      </w:r>
    </w:p>
    <w:p w14:paraId="3DAF30EA" w14:textId="1A1A9948" w:rsidR="0092059A" w:rsidRPr="00436869" w:rsidRDefault="0092059A" w:rsidP="0092059A">
      <w:pPr>
        <w:tabs>
          <w:tab w:val="clear" w:pos="454"/>
          <w:tab w:val="clear" w:pos="907"/>
          <w:tab w:val="clear" w:pos="1361"/>
          <w:tab w:val="clear" w:pos="1814"/>
          <w:tab w:val="clear" w:pos="2268"/>
        </w:tabs>
        <w:spacing w:after="200" w:line="312" w:lineRule="auto"/>
        <w:rPr>
          <w:rFonts w:asciiTheme="minorHAnsi" w:hAnsiTheme="minorHAnsi" w:cstheme="minorHAnsi"/>
          <w:sz w:val="24"/>
          <w:szCs w:val="24"/>
        </w:rPr>
      </w:pPr>
      <w:r w:rsidRPr="00436869">
        <w:rPr>
          <w:rFonts w:asciiTheme="minorHAnsi" w:hAnsiTheme="minorHAnsi" w:cstheme="minorHAnsi"/>
          <w:sz w:val="24"/>
          <w:szCs w:val="24"/>
        </w:rPr>
        <w:br w:type="page"/>
      </w:r>
    </w:p>
    <w:p w14:paraId="4E495068" w14:textId="77777777" w:rsidR="0014575D" w:rsidRDefault="0014575D" w:rsidP="00EF27AC">
      <w:pPr>
        <w:pStyle w:val="Heading2"/>
        <w:spacing w:line="360" w:lineRule="auto"/>
        <w:jc w:val="center"/>
        <w:rPr>
          <w:rFonts w:asciiTheme="minorHAnsi" w:hAnsiTheme="minorHAnsi" w:cstheme="minorHAnsi"/>
        </w:rPr>
        <w:sectPr w:rsidR="0014575D" w:rsidSect="00466B71">
          <w:headerReference w:type="default" r:id="rId15"/>
          <w:footerReference w:type="even" r:id="rId16"/>
          <w:footerReference w:type="default" r:id="rId17"/>
          <w:headerReference w:type="first" r:id="rId18"/>
          <w:footerReference w:type="first" r:id="rId19"/>
          <w:pgSz w:w="11907" w:h="16839" w:code="9"/>
          <w:pgMar w:top="2835" w:right="1134" w:bottom="1418" w:left="2098" w:header="680" w:footer="1134" w:gutter="0"/>
          <w:cols w:space="720"/>
          <w:titlePg/>
          <w:docGrid w:linePitch="381"/>
        </w:sectPr>
      </w:pPr>
      <w:bookmarkStart w:id="11" w:name="_Toc125110256"/>
    </w:p>
    <w:p w14:paraId="4EF413DB" w14:textId="77777777" w:rsidR="0092059A" w:rsidRPr="00436869" w:rsidRDefault="0092059A" w:rsidP="0014575D">
      <w:pPr>
        <w:pStyle w:val="Heading2"/>
        <w:spacing w:line="360" w:lineRule="auto"/>
        <w:jc w:val="center"/>
        <w:rPr>
          <w:rFonts w:asciiTheme="minorHAnsi" w:hAnsiTheme="minorHAnsi" w:cstheme="minorHAnsi"/>
        </w:rPr>
      </w:pPr>
      <w:bookmarkStart w:id="12" w:name="_Toc125478257"/>
      <w:r w:rsidRPr="00436869">
        <w:rPr>
          <w:rFonts w:asciiTheme="minorHAnsi" w:hAnsiTheme="minorHAnsi" w:cstheme="minorHAnsi"/>
        </w:rPr>
        <w:lastRenderedPageBreak/>
        <w:t>Appendix I</w:t>
      </w:r>
      <w:bookmarkEnd w:id="11"/>
      <w:bookmarkEnd w:id="12"/>
    </w:p>
    <w:p w14:paraId="12C60AB7" w14:textId="4C197312" w:rsidR="00466B71" w:rsidRDefault="0092059A" w:rsidP="0014575D">
      <w:pPr>
        <w:spacing w:before="3"/>
        <w:jc w:val="center"/>
        <w:rPr>
          <w:rFonts w:asciiTheme="minorHAnsi" w:eastAsia="Calibri" w:hAnsiTheme="minorHAnsi" w:cstheme="minorHAnsi"/>
          <w:b/>
          <w:bCs/>
          <w:spacing w:val="-1"/>
          <w:sz w:val="24"/>
          <w:szCs w:val="24"/>
        </w:rPr>
      </w:pPr>
      <w:r w:rsidRPr="00436869">
        <w:rPr>
          <w:rFonts w:asciiTheme="minorHAnsi" w:eastAsia="Calibri" w:hAnsiTheme="minorHAnsi" w:cstheme="minorHAnsi"/>
          <w:b/>
          <w:bCs/>
          <w:sz w:val="24"/>
          <w:szCs w:val="24"/>
        </w:rPr>
        <w:t xml:space="preserve">Consultation by the Department of Enterprise, Trade and Employment on </w:t>
      </w:r>
      <w:r w:rsidRPr="00436869">
        <w:rPr>
          <w:rFonts w:asciiTheme="minorHAnsi" w:eastAsia="Calibri" w:hAnsiTheme="minorHAnsi" w:cstheme="minorHAnsi"/>
          <w:b/>
          <w:bCs/>
          <w:spacing w:val="-1"/>
          <w:sz w:val="24"/>
          <w:szCs w:val="24"/>
        </w:rPr>
        <w:t>Member State Options under the Directive (EU) 2022/2464 of the European Parliament and of the Council of 14 December 2022 amending Regulation (EU) 537/2014, Directive 2004/109/EC, Directive 2006/43/</w:t>
      </w:r>
      <w:proofErr w:type="gramStart"/>
      <w:r w:rsidRPr="00436869">
        <w:rPr>
          <w:rFonts w:asciiTheme="minorHAnsi" w:eastAsia="Calibri" w:hAnsiTheme="minorHAnsi" w:cstheme="minorHAnsi"/>
          <w:b/>
          <w:bCs/>
          <w:spacing w:val="-1"/>
          <w:sz w:val="24"/>
          <w:szCs w:val="24"/>
        </w:rPr>
        <w:t>EC</w:t>
      </w:r>
      <w:proofErr w:type="gramEnd"/>
      <w:r w:rsidRPr="00436869">
        <w:rPr>
          <w:rFonts w:asciiTheme="minorHAnsi" w:eastAsia="Calibri" w:hAnsiTheme="minorHAnsi" w:cstheme="minorHAnsi"/>
          <w:b/>
          <w:bCs/>
          <w:spacing w:val="-1"/>
          <w:sz w:val="24"/>
          <w:szCs w:val="24"/>
        </w:rPr>
        <w:t xml:space="preserve"> and Directive 2013/34/EU, as regards corporate sustainability Reporting</w:t>
      </w:r>
    </w:p>
    <w:tbl>
      <w:tblPr>
        <w:tblStyle w:val="TableGrid"/>
        <w:tblW w:w="12616" w:type="dxa"/>
        <w:jc w:val="center"/>
        <w:tblLook w:val="04A0" w:firstRow="1" w:lastRow="0" w:firstColumn="1" w:lastColumn="0" w:noHBand="0" w:noVBand="1"/>
      </w:tblPr>
      <w:tblGrid>
        <w:gridCol w:w="3397"/>
        <w:gridCol w:w="3544"/>
        <w:gridCol w:w="5675"/>
      </w:tblGrid>
      <w:tr w:rsidR="00E71FCB" w:rsidRPr="00436869" w14:paraId="69DFEF1F" w14:textId="77777777" w:rsidTr="00A1132D">
        <w:trPr>
          <w:tblHeader/>
          <w:jc w:val="center"/>
        </w:trPr>
        <w:tc>
          <w:tcPr>
            <w:tcW w:w="3397" w:type="dxa"/>
            <w:tcBorders>
              <w:bottom w:val="single" w:sz="4" w:space="0" w:color="auto"/>
            </w:tcBorders>
          </w:tcPr>
          <w:p w14:paraId="35323E67" w14:textId="77777777" w:rsidR="00E71FCB" w:rsidRPr="00E71FCB" w:rsidRDefault="00E71FCB" w:rsidP="00547618">
            <w:pPr>
              <w:spacing w:before="8" w:line="276" w:lineRule="auto"/>
              <w:rPr>
                <w:rFonts w:asciiTheme="minorHAnsi" w:eastAsia="Times New Roman" w:hAnsiTheme="minorHAnsi" w:cstheme="minorHAnsi"/>
                <w:b/>
                <w:bCs/>
                <w:color w:val="004D44" w:themeColor="text2"/>
                <w:sz w:val="24"/>
                <w:szCs w:val="24"/>
              </w:rPr>
            </w:pPr>
            <w:r w:rsidRPr="00E71FCB">
              <w:rPr>
                <w:rFonts w:asciiTheme="minorHAnsi" w:eastAsia="Times New Roman" w:hAnsiTheme="minorHAnsi" w:cstheme="minorHAnsi"/>
                <w:b/>
                <w:bCs/>
                <w:color w:val="004D44" w:themeColor="text2"/>
                <w:sz w:val="24"/>
                <w:szCs w:val="24"/>
              </w:rPr>
              <w:t>Member State Option</w:t>
            </w:r>
          </w:p>
        </w:tc>
        <w:tc>
          <w:tcPr>
            <w:tcW w:w="3544" w:type="dxa"/>
            <w:tcBorders>
              <w:bottom w:val="single" w:sz="4" w:space="0" w:color="auto"/>
            </w:tcBorders>
          </w:tcPr>
          <w:p w14:paraId="6390C092" w14:textId="77777777" w:rsidR="00E71FCB" w:rsidRPr="00E71FCB" w:rsidRDefault="00E71FCB" w:rsidP="00547618">
            <w:pPr>
              <w:spacing w:before="8" w:line="276" w:lineRule="auto"/>
              <w:rPr>
                <w:rFonts w:asciiTheme="minorHAnsi" w:eastAsia="Times New Roman" w:hAnsiTheme="minorHAnsi" w:cstheme="minorHAnsi"/>
                <w:b/>
                <w:bCs/>
                <w:color w:val="004D44" w:themeColor="text2"/>
                <w:sz w:val="24"/>
                <w:szCs w:val="24"/>
              </w:rPr>
            </w:pPr>
            <w:r w:rsidRPr="00E71FCB">
              <w:rPr>
                <w:rFonts w:asciiTheme="minorHAnsi" w:eastAsia="Times New Roman" w:hAnsiTheme="minorHAnsi" w:cstheme="minorHAnsi"/>
                <w:b/>
                <w:bCs/>
                <w:color w:val="004D44" w:themeColor="text2"/>
                <w:sz w:val="24"/>
                <w:szCs w:val="24"/>
              </w:rPr>
              <w:t>Background Information</w:t>
            </w:r>
          </w:p>
        </w:tc>
        <w:tc>
          <w:tcPr>
            <w:tcW w:w="5675" w:type="dxa"/>
            <w:tcBorders>
              <w:bottom w:val="single" w:sz="4" w:space="0" w:color="auto"/>
            </w:tcBorders>
          </w:tcPr>
          <w:p w14:paraId="433881FF" w14:textId="1D592F08" w:rsidR="00E71FCB" w:rsidRPr="00E71FCB" w:rsidRDefault="00E71FCB" w:rsidP="00547618">
            <w:pPr>
              <w:spacing w:before="8" w:line="276" w:lineRule="auto"/>
              <w:rPr>
                <w:rFonts w:asciiTheme="minorHAnsi" w:eastAsia="Times New Roman" w:hAnsiTheme="minorHAnsi" w:cstheme="minorHAnsi"/>
                <w:b/>
                <w:bCs/>
                <w:color w:val="004D44" w:themeColor="text2"/>
                <w:sz w:val="24"/>
                <w:szCs w:val="24"/>
              </w:rPr>
            </w:pPr>
            <w:r w:rsidRPr="00E71FCB">
              <w:rPr>
                <w:rFonts w:asciiTheme="minorHAnsi" w:eastAsia="Times New Roman" w:hAnsiTheme="minorHAnsi" w:cstheme="minorHAnsi"/>
                <w:b/>
                <w:bCs/>
                <w:color w:val="004D44" w:themeColor="text2"/>
                <w:sz w:val="24"/>
                <w:szCs w:val="24"/>
              </w:rPr>
              <w:t>Do you consider that Ireland should exercise this option?</w:t>
            </w:r>
            <w:r w:rsidRPr="00E71FCB">
              <w:rPr>
                <w:rFonts w:asciiTheme="minorHAnsi" w:eastAsia="Calibri" w:hAnsiTheme="minorHAnsi" w:cstheme="minorHAnsi"/>
                <w:b/>
                <w:bCs/>
                <w:color w:val="004D44" w:themeColor="text2"/>
                <w:spacing w:val="-1"/>
                <w:sz w:val="24"/>
                <w:szCs w:val="24"/>
              </w:rPr>
              <w:t xml:space="preserve"> </w:t>
            </w:r>
            <w:r>
              <w:rPr>
                <w:rFonts w:asciiTheme="minorHAnsi" w:eastAsia="Calibri" w:hAnsiTheme="minorHAnsi" w:cstheme="minorHAnsi"/>
                <w:b/>
                <w:bCs/>
                <w:color w:val="004D44" w:themeColor="text2"/>
                <w:spacing w:val="-1"/>
                <w:sz w:val="24"/>
                <w:szCs w:val="24"/>
              </w:rPr>
              <w:t>Please provide reasons for your answer.</w:t>
            </w:r>
          </w:p>
        </w:tc>
      </w:tr>
      <w:tr w:rsidR="00E71FCB" w:rsidRPr="00436869" w14:paraId="530C2D42" w14:textId="77777777" w:rsidTr="00A1132D">
        <w:trPr>
          <w:jc w:val="center"/>
        </w:trPr>
        <w:tc>
          <w:tcPr>
            <w:tcW w:w="12616" w:type="dxa"/>
            <w:gridSpan w:val="3"/>
            <w:shd w:val="clear" w:color="auto" w:fill="E6DB9D" w:themeFill="accent6" w:themeFillTint="66"/>
          </w:tcPr>
          <w:p w14:paraId="4EE57025" w14:textId="77777777" w:rsidR="00E71FCB" w:rsidRPr="00436869" w:rsidRDefault="00E71FCB" w:rsidP="00547618">
            <w:pPr>
              <w:spacing w:before="8" w:line="276" w:lineRule="auto"/>
              <w:rPr>
                <w:rFonts w:asciiTheme="minorHAnsi" w:eastAsia="Times New Roman" w:hAnsiTheme="minorHAnsi" w:cstheme="minorHAnsi"/>
                <w:b/>
                <w:bCs/>
                <w:sz w:val="24"/>
                <w:szCs w:val="24"/>
                <w:lang w:val="en-IE"/>
              </w:rPr>
            </w:pPr>
            <w:r w:rsidRPr="00436869">
              <w:rPr>
                <w:rFonts w:asciiTheme="minorHAnsi" w:eastAsia="Times New Roman" w:hAnsiTheme="minorHAnsi" w:cstheme="minorHAnsi"/>
                <w:b/>
                <w:bCs/>
                <w:sz w:val="24"/>
                <w:szCs w:val="24"/>
                <w:lang w:val="en-IE"/>
              </w:rPr>
              <w:t xml:space="preserve">Article 1 – </w:t>
            </w:r>
            <w:r w:rsidRPr="00436869">
              <w:rPr>
                <w:rFonts w:asciiTheme="minorHAnsi" w:eastAsia="Calibri" w:hAnsiTheme="minorHAnsi" w:cstheme="minorHAnsi"/>
                <w:b/>
                <w:bCs/>
                <w:spacing w:val="-1"/>
                <w:sz w:val="24"/>
                <w:szCs w:val="24"/>
                <w:lang w:val="en-IE"/>
              </w:rPr>
              <w:t>Amendments to Directive 2013/34/EU the Accounting Directive</w:t>
            </w:r>
          </w:p>
        </w:tc>
      </w:tr>
      <w:tr w:rsidR="00A1132D" w:rsidRPr="00436869" w14:paraId="312D4ED5" w14:textId="77777777" w:rsidTr="00A1132D">
        <w:trPr>
          <w:jc w:val="center"/>
        </w:trPr>
        <w:tc>
          <w:tcPr>
            <w:tcW w:w="12616" w:type="dxa"/>
            <w:gridSpan w:val="3"/>
            <w:shd w:val="clear" w:color="auto" w:fill="F2EDCE" w:themeFill="accent6" w:themeFillTint="33"/>
          </w:tcPr>
          <w:p w14:paraId="0BBAE91F" w14:textId="77777777" w:rsidR="00A1132D" w:rsidRPr="00436869" w:rsidRDefault="00A1132D" w:rsidP="00A1132D">
            <w:pPr>
              <w:pStyle w:val="TableParagraph"/>
              <w:spacing w:before="41" w:line="276" w:lineRule="auto"/>
              <w:ind w:right="101"/>
              <w:rPr>
                <w:rFonts w:eastAsia="Times New Roman" w:cstheme="minorHAnsi"/>
                <w:b/>
                <w:bCs/>
                <w:sz w:val="24"/>
                <w:szCs w:val="24"/>
              </w:rPr>
            </w:pPr>
            <w:r w:rsidRPr="00436869">
              <w:rPr>
                <w:rFonts w:eastAsia="Times New Roman" w:cstheme="minorHAnsi"/>
                <w:b/>
                <w:bCs/>
                <w:sz w:val="24"/>
                <w:szCs w:val="24"/>
              </w:rPr>
              <w:t>Article 1 Scope (Amended)</w:t>
            </w:r>
          </w:p>
          <w:p w14:paraId="24461F59" w14:textId="0F2F231E" w:rsidR="00A1132D" w:rsidRPr="00A1132D" w:rsidRDefault="00A1132D" w:rsidP="00A1132D">
            <w:pPr>
              <w:pStyle w:val="TableParagraph"/>
              <w:spacing w:before="41" w:line="276" w:lineRule="auto"/>
              <w:ind w:right="101"/>
              <w:rPr>
                <w:rFonts w:cstheme="minorHAnsi"/>
                <w:i/>
                <w:iCs/>
                <w:sz w:val="24"/>
                <w:szCs w:val="24"/>
              </w:rPr>
            </w:pPr>
            <w:r w:rsidRPr="00436869">
              <w:rPr>
                <w:rFonts w:cstheme="minorHAnsi"/>
                <w:i/>
                <w:iCs/>
                <w:sz w:val="24"/>
                <w:szCs w:val="24"/>
              </w:rPr>
              <w:t xml:space="preserve">New point 3 last subparagraph </w:t>
            </w:r>
            <w:r w:rsidRPr="00436869">
              <w:rPr>
                <w:rFonts w:eastAsia="Times New Roman" w:cstheme="minorHAnsi"/>
                <w:i/>
                <w:iCs/>
                <w:sz w:val="24"/>
                <w:szCs w:val="24"/>
              </w:rPr>
              <w:t>(New)</w:t>
            </w:r>
          </w:p>
        </w:tc>
      </w:tr>
      <w:tr w:rsidR="00E71FCB" w:rsidRPr="00436869" w14:paraId="291FE856" w14:textId="77777777" w:rsidTr="00A1132D">
        <w:trPr>
          <w:jc w:val="center"/>
        </w:trPr>
        <w:tc>
          <w:tcPr>
            <w:tcW w:w="3397" w:type="dxa"/>
          </w:tcPr>
          <w:p w14:paraId="6FC626E4" w14:textId="77777777" w:rsidR="00E71FCB" w:rsidRPr="00436869" w:rsidRDefault="00E71FCB" w:rsidP="00547618">
            <w:pPr>
              <w:pStyle w:val="TableParagraph"/>
              <w:spacing w:before="41" w:line="276" w:lineRule="auto"/>
              <w:ind w:right="101"/>
              <w:rPr>
                <w:rFonts w:eastAsia="Times New Roman" w:cstheme="minorHAnsi"/>
                <w:sz w:val="24"/>
                <w:szCs w:val="24"/>
              </w:rPr>
            </w:pPr>
            <w:r w:rsidRPr="00436869">
              <w:rPr>
                <w:rFonts w:cstheme="minorHAnsi"/>
                <w:sz w:val="24"/>
                <w:szCs w:val="24"/>
              </w:rPr>
              <w:t xml:space="preserve">Member States </w:t>
            </w:r>
            <w:r w:rsidRPr="00436869">
              <w:rPr>
                <w:rFonts w:cstheme="minorHAnsi"/>
                <w:sz w:val="24"/>
                <w:szCs w:val="24"/>
                <w:u w:val="single"/>
              </w:rPr>
              <w:t>may</w:t>
            </w:r>
            <w:r w:rsidRPr="00436869">
              <w:rPr>
                <w:rFonts w:cstheme="minorHAnsi"/>
                <w:sz w:val="24"/>
                <w:szCs w:val="24"/>
              </w:rPr>
              <w:t xml:space="preserve"> choose not to apply the coordination measures referred to in the first subparagraph of this paragraph to the undertakings listed in points (2) to (23) of Article 2(5) of Directive 2013/36/EU of the European Parliament and of the Council.</w:t>
            </w:r>
          </w:p>
        </w:tc>
        <w:tc>
          <w:tcPr>
            <w:tcW w:w="3544" w:type="dxa"/>
          </w:tcPr>
          <w:p w14:paraId="1FCEDC8F" w14:textId="77777777" w:rsidR="00E71FCB" w:rsidRPr="00436869" w:rsidRDefault="00E71FCB" w:rsidP="00547618">
            <w:pPr>
              <w:pStyle w:val="TableParagraph"/>
              <w:spacing w:before="41" w:line="276" w:lineRule="auto"/>
              <w:ind w:left="33"/>
              <w:rPr>
                <w:rFonts w:eastAsia="Calibri" w:cstheme="minorHAnsi"/>
                <w:spacing w:val="-1"/>
                <w:sz w:val="24"/>
                <w:szCs w:val="24"/>
              </w:rPr>
            </w:pPr>
          </w:p>
          <w:p w14:paraId="5DF02ACC" w14:textId="77777777" w:rsidR="00E71FCB" w:rsidRPr="00436869" w:rsidRDefault="00E71FCB" w:rsidP="00547618">
            <w:pPr>
              <w:pStyle w:val="TableParagraph"/>
              <w:spacing w:before="41" w:line="276" w:lineRule="auto"/>
              <w:ind w:left="33"/>
              <w:rPr>
                <w:rFonts w:eastAsia="Calibri" w:cstheme="minorHAnsi"/>
                <w:spacing w:val="-1"/>
                <w:sz w:val="24"/>
                <w:szCs w:val="24"/>
              </w:rPr>
            </w:pPr>
            <w:r w:rsidRPr="00436869">
              <w:rPr>
                <w:rFonts w:eastAsia="Calibri" w:cstheme="minorHAnsi"/>
                <w:spacing w:val="-1"/>
                <w:sz w:val="24"/>
                <w:szCs w:val="24"/>
              </w:rPr>
              <w:t xml:space="preserve">The new requirements for sustainability reporting under the directive apply to large companies and large public-interest entities and listed SMEs. </w:t>
            </w:r>
          </w:p>
          <w:p w14:paraId="61A6AD92" w14:textId="77777777" w:rsidR="00E71FCB" w:rsidRPr="00436869" w:rsidRDefault="00E71FCB" w:rsidP="00547618">
            <w:pPr>
              <w:pStyle w:val="TableParagraph"/>
              <w:spacing w:before="41" w:line="276" w:lineRule="auto"/>
              <w:ind w:left="33"/>
              <w:rPr>
                <w:rFonts w:eastAsia="Calibri" w:cstheme="minorHAnsi"/>
                <w:spacing w:val="-1"/>
                <w:sz w:val="24"/>
                <w:szCs w:val="24"/>
              </w:rPr>
            </w:pPr>
          </w:p>
          <w:p w14:paraId="525DB598" w14:textId="77777777" w:rsidR="00E71FCB" w:rsidRPr="00436869" w:rsidRDefault="00E71FCB" w:rsidP="00547618">
            <w:pPr>
              <w:pStyle w:val="TableParagraph"/>
              <w:spacing w:before="41" w:line="276" w:lineRule="auto"/>
              <w:ind w:left="33"/>
              <w:rPr>
                <w:rFonts w:eastAsia="Calibri" w:cstheme="minorHAnsi"/>
                <w:spacing w:val="-1"/>
                <w:sz w:val="24"/>
                <w:szCs w:val="24"/>
                <w:lang w:val="en-IE"/>
              </w:rPr>
            </w:pPr>
            <w:r w:rsidRPr="00436869">
              <w:rPr>
                <w:rFonts w:eastAsia="Calibri" w:cstheme="minorHAnsi"/>
                <w:spacing w:val="-1"/>
                <w:sz w:val="24"/>
                <w:szCs w:val="24"/>
              </w:rPr>
              <w:t xml:space="preserve">This option allows Member States to exclude certain undertakings on a case-by-case basis. The list of </w:t>
            </w:r>
            <w:r w:rsidRPr="00436869">
              <w:rPr>
                <w:rFonts w:eastAsia="Calibri" w:cstheme="minorHAnsi"/>
                <w:spacing w:val="-1"/>
                <w:sz w:val="24"/>
                <w:szCs w:val="24"/>
              </w:rPr>
              <w:lastRenderedPageBreak/>
              <w:t>undertakings relevant to Ireland’s transposition in Article 2</w:t>
            </w:r>
            <w:r w:rsidRPr="00436869">
              <w:rPr>
                <w:rStyle w:val="FootnoteReference"/>
                <w:rFonts w:asciiTheme="minorHAnsi" w:eastAsia="Calibri" w:hAnsiTheme="minorHAnsi" w:cstheme="minorHAnsi"/>
                <w:spacing w:val="-1"/>
                <w:sz w:val="20"/>
                <w:szCs w:val="20"/>
              </w:rPr>
              <w:footnoteReference w:id="7"/>
            </w:r>
            <w:r w:rsidRPr="00436869">
              <w:rPr>
                <w:rFonts w:eastAsia="Calibri" w:cstheme="minorHAnsi"/>
                <w:spacing w:val="-1"/>
                <w:sz w:val="20"/>
                <w:szCs w:val="20"/>
                <w:vertAlign w:val="superscript"/>
              </w:rPr>
              <w:t xml:space="preserve"> </w:t>
            </w:r>
            <w:r w:rsidRPr="00436869">
              <w:rPr>
                <w:rFonts w:eastAsia="Calibri" w:cstheme="minorHAnsi"/>
                <w:spacing w:val="-1"/>
                <w:sz w:val="24"/>
                <w:szCs w:val="24"/>
              </w:rPr>
              <w:t>are central banks; post office institutions; the Strategic Banking Corporation of Ireland, credit unions and friendly societies.</w:t>
            </w:r>
          </w:p>
        </w:tc>
        <w:tc>
          <w:tcPr>
            <w:tcW w:w="5675" w:type="dxa"/>
          </w:tcPr>
          <w:p w14:paraId="700C7636" w14:textId="77777777" w:rsidR="00E71FCB" w:rsidRPr="00436869" w:rsidRDefault="00E71FCB" w:rsidP="00547618">
            <w:pPr>
              <w:pStyle w:val="TableParagraph"/>
              <w:spacing w:before="41" w:line="276" w:lineRule="auto"/>
              <w:ind w:left="33"/>
              <w:rPr>
                <w:rFonts w:eastAsia="Calibri" w:cstheme="minorHAnsi"/>
                <w:spacing w:val="-1"/>
                <w:sz w:val="24"/>
                <w:szCs w:val="24"/>
                <w:lang w:val="en-IE"/>
              </w:rPr>
            </w:pPr>
          </w:p>
        </w:tc>
      </w:tr>
      <w:tr w:rsidR="00A1132D" w:rsidRPr="00436869" w14:paraId="6F8F8E9F" w14:textId="77777777" w:rsidTr="00A1132D">
        <w:trPr>
          <w:jc w:val="center"/>
        </w:trPr>
        <w:tc>
          <w:tcPr>
            <w:tcW w:w="12616" w:type="dxa"/>
            <w:gridSpan w:val="3"/>
            <w:shd w:val="clear" w:color="auto" w:fill="F2EDCE" w:themeFill="accent6" w:themeFillTint="33"/>
          </w:tcPr>
          <w:p w14:paraId="35625C34" w14:textId="77777777" w:rsidR="00A1132D" w:rsidRPr="00436869" w:rsidRDefault="00A1132D" w:rsidP="00A1132D">
            <w:pPr>
              <w:pStyle w:val="TableParagraph"/>
              <w:spacing w:before="41" w:line="276" w:lineRule="auto"/>
              <w:ind w:right="101"/>
              <w:rPr>
                <w:rFonts w:cstheme="minorHAnsi"/>
                <w:b/>
                <w:bCs/>
                <w:sz w:val="24"/>
                <w:szCs w:val="24"/>
              </w:rPr>
            </w:pPr>
            <w:r w:rsidRPr="00436869">
              <w:rPr>
                <w:rFonts w:cstheme="minorHAnsi"/>
                <w:b/>
                <w:bCs/>
                <w:sz w:val="24"/>
                <w:szCs w:val="24"/>
              </w:rPr>
              <w:t>Article 19a – Sustainability Reporting (New)</w:t>
            </w:r>
          </w:p>
          <w:p w14:paraId="7AFA4E02" w14:textId="2C7D3ABF" w:rsidR="00A1132D" w:rsidRPr="00A1132D" w:rsidRDefault="00A1132D" w:rsidP="00A1132D">
            <w:pPr>
              <w:pStyle w:val="TableParagraph"/>
              <w:spacing w:before="41" w:line="276" w:lineRule="auto"/>
              <w:ind w:right="101"/>
              <w:rPr>
                <w:rFonts w:cstheme="minorHAnsi"/>
                <w:i/>
                <w:iCs/>
                <w:sz w:val="24"/>
                <w:szCs w:val="24"/>
              </w:rPr>
            </w:pPr>
            <w:r w:rsidRPr="00436869">
              <w:rPr>
                <w:rFonts w:cstheme="minorHAnsi"/>
                <w:i/>
                <w:iCs/>
                <w:sz w:val="24"/>
                <w:szCs w:val="24"/>
              </w:rPr>
              <w:t>Point 3 last subparagraph (New)</w:t>
            </w:r>
          </w:p>
        </w:tc>
      </w:tr>
      <w:tr w:rsidR="00E71FCB" w:rsidRPr="00436869" w14:paraId="54F5FB8A" w14:textId="77777777" w:rsidTr="00A1132D">
        <w:trPr>
          <w:jc w:val="center"/>
        </w:trPr>
        <w:tc>
          <w:tcPr>
            <w:tcW w:w="3397" w:type="dxa"/>
          </w:tcPr>
          <w:p w14:paraId="2C8D1E19"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Member States </w:t>
            </w:r>
            <w:r w:rsidRPr="00436869">
              <w:rPr>
                <w:rFonts w:cstheme="minorHAnsi"/>
                <w:sz w:val="24"/>
                <w:szCs w:val="24"/>
                <w:u w:val="single"/>
              </w:rPr>
              <w:t>may</w:t>
            </w:r>
            <w:r w:rsidRPr="00436869">
              <w:rPr>
                <w:rFonts w:cstheme="minorHAnsi"/>
                <w:sz w:val="24"/>
                <w:szCs w:val="24"/>
              </w:rPr>
              <w:t xml:space="preserve"> allow information relating to impending developments or matters in the course of negotiation to be omitted in exceptional cases where, in the duly justified opinion of the members of the administrative, </w:t>
            </w:r>
            <w:r w:rsidRPr="00436869">
              <w:rPr>
                <w:rFonts w:cstheme="minorHAnsi"/>
                <w:sz w:val="24"/>
                <w:szCs w:val="24"/>
              </w:rPr>
              <w:lastRenderedPageBreak/>
              <w:t>management and supervisory bodies, acting within the competences assigned to them by national law and having collective responsibility for that opinion, the disclosure of such information would be seriously prejudicial to the commercial position of the undertaking, provided that such omission does not prevent a fair and balanced understanding of the undertaking’s development, performance and position, and the impact of its activity.</w:t>
            </w:r>
          </w:p>
        </w:tc>
        <w:tc>
          <w:tcPr>
            <w:tcW w:w="3544" w:type="dxa"/>
          </w:tcPr>
          <w:p w14:paraId="7395D0DB" w14:textId="77777777" w:rsidR="00E71FCB" w:rsidRPr="00436869" w:rsidRDefault="00E71FCB" w:rsidP="00A1132D">
            <w:pPr>
              <w:pStyle w:val="TableParagraph"/>
              <w:spacing w:before="41" w:line="276" w:lineRule="auto"/>
              <w:rPr>
                <w:rFonts w:eastAsia="Times New Roman" w:cstheme="minorHAnsi"/>
                <w:sz w:val="24"/>
                <w:szCs w:val="24"/>
              </w:rPr>
            </w:pPr>
            <w:r w:rsidRPr="00436869">
              <w:rPr>
                <w:rFonts w:eastAsia="Times New Roman" w:cstheme="minorHAnsi"/>
                <w:sz w:val="24"/>
                <w:szCs w:val="24"/>
              </w:rPr>
              <w:lastRenderedPageBreak/>
              <w:t xml:space="preserve">The new Article 19a on Sustainability Reporting replaces the existing Article 19a. Article 19a sets out substantially enhanced requirements for sustainability reporting by undertakings in scope of the Directive. The information to be </w:t>
            </w:r>
            <w:r w:rsidRPr="00436869">
              <w:rPr>
                <w:rFonts w:eastAsia="Times New Roman" w:cstheme="minorHAnsi"/>
                <w:sz w:val="24"/>
                <w:szCs w:val="24"/>
              </w:rPr>
              <w:lastRenderedPageBreak/>
              <w:t>reported should be clearly identifiable within the undertaking’s management report (</w:t>
            </w:r>
            <w:proofErr w:type="spellStart"/>
            <w:proofErr w:type="gramStart"/>
            <w:r w:rsidRPr="00436869">
              <w:rPr>
                <w:rFonts w:eastAsia="Times New Roman" w:cstheme="minorHAnsi"/>
                <w:sz w:val="24"/>
                <w:szCs w:val="24"/>
              </w:rPr>
              <w:t>ie</w:t>
            </w:r>
            <w:proofErr w:type="spellEnd"/>
            <w:proofErr w:type="gramEnd"/>
            <w:r w:rsidRPr="00436869">
              <w:rPr>
                <w:rFonts w:eastAsia="Times New Roman" w:cstheme="minorHAnsi"/>
                <w:sz w:val="24"/>
                <w:szCs w:val="24"/>
              </w:rPr>
              <w:t xml:space="preserve"> the directors’ report). This option allows Member States to permit undertakings to exclude commercially sensitive information from the sustainability reporting under certain circumstances.</w:t>
            </w:r>
          </w:p>
          <w:p w14:paraId="557A4FC7" w14:textId="77777777" w:rsidR="00E71FCB" w:rsidRPr="00436869" w:rsidRDefault="00E71FCB" w:rsidP="00547618">
            <w:pPr>
              <w:pStyle w:val="TableParagraph"/>
              <w:spacing w:before="41" w:line="276" w:lineRule="auto"/>
              <w:ind w:left="33"/>
              <w:rPr>
                <w:rFonts w:eastAsia="Times New Roman" w:cstheme="minorHAnsi"/>
                <w:sz w:val="24"/>
                <w:szCs w:val="24"/>
              </w:rPr>
            </w:pPr>
          </w:p>
          <w:p w14:paraId="505366A0" w14:textId="77777777" w:rsidR="00E71FCB" w:rsidRPr="00436869" w:rsidRDefault="00E71FCB" w:rsidP="00547618">
            <w:pPr>
              <w:pStyle w:val="TableParagraph"/>
              <w:spacing w:before="41" w:line="276" w:lineRule="auto"/>
              <w:rPr>
                <w:rFonts w:eastAsia="Calibri" w:cstheme="minorHAnsi"/>
                <w:spacing w:val="-1"/>
                <w:sz w:val="24"/>
                <w:szCs w:val="24"/>
              </w:rPr>
            </w:pPr>
          </w:p>
          <w:p w14:paraId="2A94E018" w14:textId="77777777" w:rsidR="00E71FCB" w:rsidRPr="00436869" w:rsidRDefault="00E71FCB" w:rsidP="00547618">
            <w:pPr>
              <w:pStyle w:val="TableParagraph"/>
              <w:spacing w:before="41" w:line="276" w:lineRule="auto"/>
              <w:ind w:left="33"/>
              <w:rPr>
                <w:rFonts w:eastAsia="Times New Roman" w:cstheme="minorHAnsi"/>
                <w:sz w:val="24"/>
                <w:szCs w:val="24"/>
              </w:rPr>
            </w:pPr>
          </w:p>
        </w:tc>
        <w:tc>
          <w:tcPr>
            <w:tcW w:w="5675" w:type="dxa"/>
          </w:tcPr>
          <w:p w14:paraId="2C65B5A3" w14:textId="77777777" w:rsidR="00E71FCB" w:rsidRPr="00436869" w:rsidRDefault="00E71FCB" w:rsidP="00547618">
            <w:pPr>
              <w:pStyle w:val="TableParagraph"/>
              <w:spacing w:before="41" w:line="276" w:lineRule="auto"/>
              <w:ind w:left="33"/>
              <w:rPr>
                <w:rFonts w:eastAsia="Times New Roman" w:cstheme="minorHAnsi"/>
                <w:sz w:val="24"/>
                <w:szCs w:val="24"/>
              </w:rPr>
            </w:pPr>
          </w:p>
        </w:tc>
      </w:tr>
      <w:tr w:rsidR="00803A67" w:rsidRPr="00436869" w14:paraId="3296ABB0" w14:textId="77777777" w:rsidTr="00803A67">
        <w:trPr>
          <w:jc w:val="center"/>
        </w:trPr>
        <w:tc>
          <w:tcPr>
            <w:tcW w:w="12616" w:type="dxa"/>
            <w:gridSpan w:val="3"/>
            <w:shd w:val="clear" w:color="auto" w:fill="F2EDCE" w:themeFill="accent6" w:themeFillTint="33"/>
          </w:tcPr>
          <w:p w14:paraId="08294708" w14:textId="63C3A590" w:rsidR="00803A67" w:rsidRPr="00803A67" w:rsidRDefault="00803A67" w:rsidP="00803A67">
            <w:pPr>
              <w:pStyle w:val="TableParagraph"/>
              <w:spacing w:before="41" w:line="276" w:lineRule="auto"/>
              <w:ind w:right="101"/>
              <w:rPr>
                <w:rFonts w:cstheme="minorHAnsi"/>
                <w:i/>
                <w:iCs/>
                <w:sz w:val="24"/>
                <w:szCs w:val="24"/>
              </w:rPr>
            </w:pPr>
            <w:r w:rsidRPr="00436869">
              <w:rPr>
                <w:rFonts w:cstheme="minorHAnsi"/>
                <w:i/>
                <w:iCs/>
                <w:sz w:val="24"/>
                <w:szCs w:val="24"/>
              </w:rPr>
              <w:t>Point 9 subparagraph three (New)</w:t>
            </w:r>
          </w:p>
        </w:tc>
      </w:tr>
      <w:tr w:rsidR="00E71FCB" w:rsidRPr="00436869" w14:paraId="20CA2A0D" w14:textId="77777777" w:rsidTr="00A1132D">
        <w:trPr>
          <w:jc w:val="center"/>
        </w:trPr>
        <w:tc>
          <w:tcPr>
            <w:tcW w:w="3397" w:type="dxa"/>
          </w:tcPr>
          <w:p w14:paraId="646B3A3A" w14:textId="55B1252B" w:rsidR="00024D1C"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The Member State by whose national law the exempted subsidiary undertaking is governed </w:t>
            </w:r>
            <w:r w:rsidRPr="00436869">
              <w:rPr>
                <w:rFonts w:cstheme="minorHAnsi"/>
                <w:sz w:val="24"/>
                <w:szCs w:val="24"/>
                <w:u w:val="single"/>
              </w:rPr>
              <w:t>may</w:t>
            </w:r>
            <w:r w:rsidRPr="00436869">
              <w:rPr>
                <w:rFonts w:cstheme="minorHAnsi"/>
                <w:sz w:val="24"/>
                <w:szCs w:val="24"/>
              </w:rPr>
              <w:t xml:space="preserve"> require that the </w:t>
            </w:r>
            <w:r w:rsidRPr="00436869">
              <w:rPr>
                <w:rFonts w:cstheme="minorHAnsi"/>
                <w:sz w:val="24"/>
                <w:szCs w:val="24"/>
              </w:rPr>
              <w:lastRenderedPageBreak/>
              <w:t>consolidated management report or, where applicable, the consolidated sustainability report, of the parent undertaking is published in a language that that Member State accepts, and that any necessary translation into such language is provided. Any translation that has not been certified shall include a statement to that effect.</w:t>
            </w:r>
          </w:p>
          <w:p w14:paraId="07762221" w14:textId="36F4B25C" w:rsidR="00024D1C" w:rsidRPr="00436869" w:rsidRDefault="00024D1C" w:rsidP="00547618">
            <w:pPr>
              <w:pStyle w:val="TableParagraph"/>
              <w:spacing w:before="41" w:line="276" w:lineRule="auto"/>
              <w:ind w:right="101"/>
              <w:rPr>
                <w:rFonts w:cstheme="minorHAnsi"/>
                <w:sz w:val="24"/>
                <w:szCs w:val="24"/>
              </w:rPr>
            </w:pPr>
          </w:p>
        </w:tc>
        <w:tc>
          <w:tcPr>
            <w:tcW w:w="3544" w:type="dxa"/>
          </w:tcPr>
          <w:p w14:paraId="71BA7839" w14:textId="5BE60FD4" w:rsidR="00E71FCB" w:rsidRPr="00436869" w:rsidRDefault="00E71FCB" w:rsidP="00A60D63">
            <w:pPr>
              <w:pStyle w:val="TableParagraph"/>
              <w:spacing w:before="41" w:line="276" w:lineRule="auto"/>
              <w:rPr>
                <w:rFonts w:eastAsia="Times New Roman" w:cstheme="minorHAnsi"/>
                <w:sz w:val="24"/>
                <w:szCs w:val="24"/>
              </w:rPr>
            </w:pPr>
            <w:r w:rsidRPr="00436869">
              <w:rPr>
                <w:rFonts w:eastAsia="Times New Roman" w:cstheme="minorHAnsi"/>
                <w:sz w:val="24"/>
                <w:szCs w:val="24"/>
              </w:rPr>
              <w:lastRenderedPageBreak/>
              <w:t xml:space="preserve">Point 9 sets out exemptions from sustainability reporting for subsidiary undertakings where a parent in the EU includes </w:t>
            </w:r>
            <w:r w:rsidRPr="00436869">
              <w:rPr>
                <w:rFonts w:eastAsia="Times New Roman" w:cstheme="minorHAnsi"/>
                <w:sz w:val="24"/>
                <w:szCs w:val="24"/>
              </w:rPr>
              <w:lastRenderedPageBreak/>
              <w:t xml:space="preserve">information on the subsidiary in the consolidated management report drawn up under Article 29 and 29a or, if the parent is in a third </w:t>
            </w:r>
            <w:proofErr w:type="gramStart"/>
            <w:r w:rsidRPr="00436869">
              <w:rPr>
                <w:rFonts w:eastAsia="Times New Roman" w:cstheme="minorHAnsi"/>
                <w:sz w:val="24"/>
                <w:szCs w:val="24"/>
              </w:rPr>
              <w:t>country  equivalent</w:t>
            </w:r>
            <w:proofErr w:type="gramEnd"/>
            <w:r w:rsidRPr="00436869">
              <w:rPr>
                <w:rFonts w:eastAsia="Times New Roman" w:cstheme="minorHAnsi"/>
                <w:sz w:val="24"/>
                <w:szCs w:val="24"/>
              </w:rPr>
              <w:t xml:space="preserve"> consolidated sustainability report. Member States have the option to require that the consolidated management/sustainability report is published in an accepted language.</w:t>
            </w:r>
          </w:p>
        </w:tc>
        <w:tc>
          <w:tcPr>
            <w:tcW w:w="5675" w:type="dxa"/>
          </w:tcPr>
          <w:p w14:paraId="19A31786" w14:textId="77777777" w:rsidR="00E71FCB" w:rsidRPr="00436869" w:rsidRDefault="00E71FCB" w:rsidP="00547618">
            <w:pPr>
              <w:pStyle w:val="TableParagraph"/>
              <w:spacing w:before="41" w:line="276" w:lineRule="auto"/>
              <w:ind w:left="33"/>
              <w:rPr>
                <w:rFonts w:eastAsia="Times New Roman" w:cstheme="minorHAnsi"/>
                <w:sz w:val="24"/>
                <w:szCs w:val="24"/>
              </w:rPr>
            </w:pPr>
          </w:p>
        </w:tc>
      </w:tr>
      <w:tr w:rsidR="00A1132D" w:rsidRPr="00436869" w14:paraId="611AE6C6" w14:textId="77777777" w:rsidTr="00A1132D">
        <w:trPr>
          <w:jc w:val="center"/>
        </w:trPr>
        <w:tc>
          <w:tcPr>
            <w:tcW w:w="12616" w:type="dxa"/>
            <w:gridSpan w:val="3"/>
            <w:shd w:val="clear" w:color="auto" w:fill="F2EDCE" w:themeFill="accent6" w:themeFillTint="33"/>
          </w:tcPr>
          <w:p w14:paraId="540924DA" w14:textId="77777777" w:rsidR="00A1132D" w:rsidRPr="00436869" w:rsidRDefault="00A1132D" w:rsidP="00A1132D">
            <w:pPr>
              <w:pStyle w:val="TableParagraph"/>
              <w:spacing w:before="41" w:line="276" w:lineRule="auto"/>
              <w:ind w:right="101"/>
              <w:rPr>
                <w:rFonts w:cstheme="minorHAnsi"/>
                <w:b/>
                <w:bCs/>
                <w:sz w:val="24"/>
                <w:szCs w:val="24"/>
                <w:lang w:val="en-IE"/>
              </w:rPr>
            </w:pPr>
            <w:r w:rsidRPr="00436869">
              <w:rPr>
                <w:rFonts w:cstheme="minorHAnsi"/>
                <w:b/>
                <w:bCs/>
                <w:sz w:val="24"/>
                <w:szCs w:val="24"/>
                <w:lang w:val="en-IE"/>
              </w:rPr>
              <w:t>Article 29a. – Consolidated Sustainability Reporting (New)</w:t>
            </w:r>
          </w:p>
          <w:p w14:paraId="074E4788" w14:textId="4F3F75FB" w:rsidR="00A1132D" w:rsidRPr="00024D1C" w:rsidRDefault="00A1132D" w:rsidP="00024D1C">
            <w:pPr>
              <w:pStyle w:val="TableParagraph"/>
              <w:spacing w:before="41" w:line="276" w:lineRule="auto"/>
              <w:ind w:right="101"/>
              <w:rPr>
                <w:rFonts w:cstheme="minorHAnsi"/>
                <w:i/>
                <w:iCs/>
                <w:sz w:val="24"/>
                <w:szCs w:val="24"/>
                <w:lang w:val="en-IE"/>
              </w:rPr>
            </w:pPr>
            <w:r w:rsidRPr="00436869">
              <w:rPr>
                <w:rFonts w:cstheme="minorHAnsi"/>
                <w:i/>
                <w:iCs/>
                <w:sz w:val="24"/>
                <w:szCs w:val="24"/>
                <w:lang w:val="en-IE"/>
              </w:rPr>
              <w:t>Point 3 last subparagraph (New</w:t>
            </w:r>
          </w:p>
        </w:tc>
      </w:tr>
      <w:tr w:rsidR="00E71FCB" w:rsidRPr="00436869" w14:paraId="5AECA9AD" w14:textId="77777777" w:rsidTr="00A1132D">
        <w:trPr>
          <w:jc w:val="center"/>
        </w:trPr>
        <w:tc>
          <w:tcPr>
            <w:tcW w:w="3397" w:type="dxa"/>
          </w:tcPr>
          <w:p w14:paraId="2A6AAD95" w14:textId="77777777" w:rsidR="00A60D63" w:rsidRDefault="00E71FCB" w:rsidP="00A60D63">
            <w:pPr>
              <w:pStyle w:val="TableParagraph"/>
              <w:spacing w:before="41" w:line="276" w:lineRule="auto"/>
              <w:ind w:right="101"/>
              <w:rPr>
                <w:rFonts w:cstheme="minorHAnsi"/>
                <w:sz w:val="24"/>
                <w:szCs w:val="24"/>
              </w:rPr>
            </w:pPr>
            <w:r w:rsidRPr="00436869">
              <w:rPr>
                <w:rFonts w:cstheme="minorHAnsi"/>
                <w:sz w:val="24"/>
                <w:szCs w:val="24"/>
              </w:rPr>
              <w:t xml:space="preserve">Member States </w:t>
            </w:r>
            <w:r w:rsidRPr="00436869">
              <w:rPr>
                <w:rFonts w:cstheme="minorHAnsi"/>
                <w:sz w:val="24"/>
                <w:szCs w:val="24"/>
                <w:u w:val="single"/>
              </w:rPr>
              <w:t>may</w:t>
            </w:r>
            <w:r w:rsidRPr="00436869">
              <w:rPr>
                <w:rFonts w:cstheme="minorHAnsi"/>
                <w:sz w:val="24"/>
                <w:szCs w:val="24"/>
              </w:rPr>
              <w:t xml:space="preserve"> allow information relating to impending developments or matters in the course of negotiation to be omitted in </w:t>
            </w:r>
            <w:r w:rsidRPr="00436869">
              <w:rPr>
                <w:rFonts w:cstheme="minorHAnsi"/>
                <w:sz w:val="24"/>
                <w:szCs w:val="24"/>
              </w:rPr>
              <w:lastRenderedPageBreak/>
              <w:t>exceptional cases where, in the duly justified opinion of the members of the administrative, management and supervisory bodies, acting within the competences assigned to them by national law and having collective responsibility for that opinion, the disclosure of such information would be seriously prejudicial to the commercial position of the group, provided that such omission does not prevent a fair and balanced understanding of the group’s development, performance, and position, and the impact of its activity.</w:t>
            </w:r>
          </w:p>
          <w:p w14:paraId="4F030DB8" w14:textId="77777777" w:rsidR="00A60D63" w:rsidRDefault="00A60D63" w:rsidP="00A60D63">
            <w:pPr>
              <w:pStyle w:val="TableParagraph"/>
              <w:spacing w:before="41" w:line="276" w:lineRule="auto"/>
              <w:ind w:right="101"/>
              <w:rPr>
                <w:rFonts w:cstheme="minorHAnsi"/>
                <w:sz w:val="24"/>
                <w:szCs w:val="24"/>
              </w:rPr>
            </w:pPr>
          </w:p>
          <w:p w14:paraId="6EFBFE09" w14:textId="5991F223" w:rsidR="00A60D63" w:rsidRPr="00436869" w:rsidRDefault="00A60D63" w:rsidP="00A60D63">
            <w:pPr>
              <w:pStyle w:val="TableParagraph"/>
              <w:spacing w:before="41" w:line="276" w:lineRule="auto"/>
              <w:ind w:right="101"/>
              <w:rPr>
                <w:rFonts w:cstheme="minorHAnsi"/>
                <w:sz w:val="24"/>
                <w:szCs w:val="24"/>
              </w:rPr>
            </w:pPr>
          </w:p>
        </w:tc>
        <w:tc>
          <w:tcPr>
            <w:tcW w:w="3544" w:type="dxa"/>
          </w:tcPr>
          <w:p w14:paraId="4F46F681" w14:textId="77777777" w:rsidR="00E71FCB" w:rsidRPr="00436869" w:rsidRDefault="00E71FCB" w:rsidP="00024D1C">
            <w:pPr>
              <w:pStyle w:val="TableParagraph"/>
              <w:spacing w:before="41" w:line="276" w:lineRule="auto"/>
              <w:rPr>
                <w:rFonts w:eastAsia="Times New Roman" w:cstheme="minorHAnsi"/>
                <w:sz w:val="24"/>
                <w:szCs w:val="24"/>
              </w:rPr>
            </w:pPr>
            <w:r w:rsidRPr="00436869">
              <w:rPr>
                <w:rFonts w:eastAsia="Times New Roman" w:cstheme="minorHAnsi"/>
                <w:sz w:val="24"/>
                <w:szCs w:val="24"/>
              </w:rPr>
              <w:lastRenderedPageBreak/>
              <w:t xml:space="preserve">The new Article 29a on Consolidated Sustainability Reporting replaces the existing Article 29a. Article 29a, </w:t>
            </w:r>
            <w:proofErr w:type="gramStart"/>
            <w:r w:rsidRPr="00436869">
              <w:rPr>
                <w:rFonts w:eastAsia="Times New Roman" w:cstheme="minorHAnsi"/>
                <w:sz w:val="24"/>
                <w:szCs w:val="24"/>
              </w:rPr>
              <w:t>similar to</w:t>
            </w:r>
            <w:proofErr w:type="gramEnd"/>
            <w:r w:rsidRPr="00436869">
              <w:rPr>
                <w:rFonts w:eastAsia="Times New Roman" w:cstheme="minorHAnsi"/>
                <w:sz w:val="24"/>
                <w:szCs w:val="24"/>
              </w:rPr>
              <w:t xml:space="preserve"> Article 19a, sets out substantially </w:t>
            </w:r>
            <w:r w:rsidRPr="00436869">
              <w:rPr>
                <w:rFonts w:eastAsia="Times New Roman" w:cstheme="minorHAnsi"/>
                <w:sz w:val="24"/>
                <w:szCs w:val="24"/>
              </w:rPr>
              <w:lastRenderedPageBreak/>
              <w:t>enhanced requirements for consolidated sustainability reporting by undertakings in scope of the Directive. The information to be reported should be clearly identifiable within the group management (directors) report. This option allows Member States to permit undertakings to exclude commercially sensitive information from the sustainability reporting under certain circumstances.</w:t>
            </w:r>
          </w:p>
          <w:p w14:paraId="706B8641" w14:textId="77777777" w:rsidR="00E71FCB" w:rsidRPr="00436869" w:rsidRDefault="00E71FCB" w:rsidP="00547618">
            <w:pPr>
              <w:pStyle w:val="TableParagraph"/>
              <w:spacing w:before="41" w:line="276" w:lineRule="auto"/>
              <w:ind w:left="33"/>
              <w:rPr>
                <w:rFonts w:eastAsia="Times New Roman" w:cstheme="minorHAnsi"/>
                <w:sz w:val="24"/>
                <w:szCs w:val="24"/>
              </w:rPr>
            </w:pPr>
          </w:p>
          <w:p w14:paraId="680A722F" w14:textId="77777777" w:rsidR="00E71FCB" w:rsidRPr="00436869" w:rsidRDefault="00E71FCB" w:rsidP="00547618">
            <w:pPr>
              <w:pStyle w:val="TableParagraph"/>
              <w:spacing w:before="41" w:line="276" w:lineRule="auto"/>
              <w:ind w:left="33"/>
              <w:rPr>
                <w:rFonts w:eastAsia="Times New Roman" w:cstheme="minorHAnsi"/>
                <w:sz w:val="24"/>
                <w:szCs w:val="24"/>
              </w:rPr>
            </w:pPr>
          </w:p>
        </w:tc>
        <w:tc>
          <w:tcPr>
            <w:tcW w:w="5675" w:type="dxa"/>
          </w:tcPr>
          <w:p w14:paraId="73CB579A" w14:textId="77777777" w:rsidR="00E71FCB" w:rsidRPr="00436869" w:rsidRDefault="00E71FCB" w:rsidP="00547618">
            <w:pPr>
              <w:pStyle w:val="TableParagraph"/>
              <w:spacing w:before="41" w:line="276" w:lineRule="auto"/>
              <w:ind w:left="33"/>
              <w:rPr>
                <w:rFonts w:eastAsia="Times New Roman" w:cstheme="minorHAnsi"/>
                <w:sz w:val="24"/>
                <w:szCs w:val="24"/>
              </w:rPr>
            </w:pPr>
          </w:p>
        </w:tc>
      </w:tr>
      <w:tr w:rsidR="00803A67" w:rsidRPr="00436869" w14:paraId="42F50719" w14:textId="77777777" w:rsidTr="00803A67">
        <w:trPr>
          <w:jc w:val="center"/>
        </w:trPr>
        <w:tc>
          <w:tcPr>
            <w:tcW w:w="12616" w:type="dxa"/>
            <w:gridSpan w:val="3"/>
            <w:shd w:val="clear" w:color="auto" w:fill="F2EDCE" w:themeFill="accent6" w:themeFillTint="33"/>
          </w:tcPr>
          <w:p w14:paraId="1BBD29B0" w14:textId="17B1A91B" w:rsidR="00803A67" w:rsidRPr="00803A67" w:rsidRDefault="00803A67" w:rsidP="00803A67">
            <w:pPr>
              <w:pStyle w:val="TableParagraph"/>
              <w:spacing w:before="41" w:line="276" w:lineRule="auto"/>
              <w:ind w:right="101"/>
              <w:rPr>
                <w:rFonts w:cstheme="minorHAnsi"/>
                <w:i/>
                <w:iCs/>
                <w:sz w:val="24"/>
                <w:szCs w:val="24"/>
              </w:rPr>
            </w:pPr>
            <w:r w:rsidRPr="00436869">
              <w:rPr>
                <w:rFonts w:cstheme="minorHAnsi"/>
                <w:i/>
                <w:iCs/>
                <w:sz w:val="24"/>
                <w:szCs w:val="24"/>
              </w:rPr>
              <w:lastRenderedPageBreak/>
              <w:t>Point 8 subparagraph (New)</w:t>
            </w:r>
          </w:p>
        </w:tc>
      </w:tr>
      <w:tr w:rsidR="00E71FCB" w:rsidRPr="00436869" w14:paraId="228993EC" w14:textId="77777777" w:rsidTr="00A1132D">
        <w:trPr>
          <w:jc w:val="center"/>
        </w:trPr>
        <w:tc>
          <w:tcPr>
            <w:tcW w:w="3397" w:type="dxa"/>
          </w:tcPr>
          <w:p w14:paraId="7044AD6E" w14:textId="77777777" w:rsidR="00E71FCB"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The Member State by whose national law the exempted parent undertaking is governed </w:t>
            </w:r>
            <w:r w:rsidRPr="00436869">
              <w:rPr>
                <w:rFonts w:cstheme="minorHAnsi"/>
                <w:sz w:val="24"/>
                <w:szCs w:val="24"/>
                <w:u w:val="single"/>
              </w:rPr>
              <w:t>may</w:t>
            </w:r>
            <w:r w:rsidRPr="00436869">
              <w:rPr>
                <w:rFonts w:cstheme="minorHAnsi"/>
                <w:sz w:val="24"/>
                <w:szCs w:val="24"/>
              </w:rPr>
              <w:t xml:space="preserve"> require that the consolidated management report or, where applicable, the consolidated sustainability report of the parent undertaking is published in a language that that Member State accepts, and that any necessary translation into such language is provided. Any translation that has not been certified shall include a statement to that effect.</w:t>
            </w:r>
          </w:p>
          <w:p w14:paraId="75020612" w14:textId="77777777" w:rsidR="00A60D63" w:rsidRPr="00436869" w:rsidRDefault="00A60D63" w:rsidP="00547618">
            <w:pPr>
              <w:pStyle w:val="TableParagraph"/>
              <w:spacing w:before="41" w:line="276" w:lineRule="auto"/>
              <w:ind w:right="101"/>
              <w:rPr>
                <w:rFonts w:cstheme="minorHAnsi"/>
                <w:sz w:val="24"/>
                <w:szCs w:val="24"/>
              </w:rPr>
            </w:pPr>
          </w:p>
          <w:p w14:paraId="15BE4C53" w14:textId="77777777" w:rsidR="00E71FCB" w:rsidRPr="00436869" w:rsidRDefault="00E71FCB" w:rsidP="00547618">
            <w:pPr>
              <w:pStyle w:val="TableParagraph"/>
              <w:spacing w:before="41" w:line="276" w:lineRule="auto"/>
              <w:ind w:right="101"/>
              <w:rPr>
                <w:rFonts w:cstheme="minorHAnsi"/>
                <w:sz w:val="24"/>
                <w:szCs w:val="24"/>
              </w:rPr>
            </w:pPr>
          </w:p>
        </w:tc>
        <w:tc>
          <w:tcPr>
            <w:tcW w:w="3544" w:type="dxa"/>
          </w:tcPr>
          <w:p w14:paraId="75097D9F" w14:textId="77777777" w:rsidR="00E71FCB" w:rsidRPr="00436869" w:rsidRDefault="00E71FCB" w:rsidP="00803A67">
            <w:pPr>
              <w:pStyle w:val="TableParagraph"/>
              <w:spacing w:before="41" w:line="276" w:lineRule="auto"/>
              <w:rPr>
                <w:rFonts w:eastAsia="Times New Roman" w:cstheme="minorHAnsi"/>
                <w:sz w:val="24"/>
                <w:szCs w:val="24"/>
              </w:rPr>
            </w:pPr>
            <w:r w:rsidRPr="00436869">
              <w:rPr>
                <w:rFonts w:eastAsia="Times New Roman" w:cstheme="minorHAnsi"/>
                <w:sz w:val="24"/>
                <w:szCs w:val="24"/>
              </w:rPr>
              <w:t>As in Article 19a, Member States have the option to require that the consolidated management/sustainability report is published in an accepted language.</w:t>
            </w:r>
          </w:p>
          <w:p w14:paraId="08252763" w14:textId="77777777" w:rsidR="00E71FCB" w:rsidRPr="00436869" w:rsidRDefault="00E71FCB" w:rsidP="00547618">
            <w:pPr>
              <w:pStyle w:val="TableParagraph"/>
              <w:spacing w:before="41" w:line="276" w:lineRule="auto"/>
              <w:ind w:left="33"/>
              <w:rPr>
                <w:rFonts w:eastAsia="Times New Roman" w:cstheme="minorHAnsi"/>
                <w:sz w:val="24"/>
                <w:szCs w:val="24"/>
              </w:rPr>
            </w:pPr>
          </w:p>
          <w:p w14:paraId="1464C6BA" w14:textId="77777777" w:rsidR="00E71FCB" w:rsidRPr="00436869" w:rsidRDefault="00E71FCB" w:rsidP="00547618">
            <w:pPr>
              <w:pStyle w:val="TableParagraph"/>
              <w:spacing w:before="41" w:line="276" w:lineRule="auto"/>
              <w:ind w:left="33"/>
              <w:rPr>
                <w:rFonts w:eastAsia="Times New Roman" w:cstheme="minorHAnsi"/>
                <w:sz w:val="24"/>
                <w:szCs w:val="24"/>
              </w:rPr>
            </w:pPr>
          </w:p>
        </w:tc>
        <w:tc>
          <w:tcPr>
            <w:tcW w:w="5675" w:type="dxa"/>
          </w:tcPr>
          <w:p w14:paraId="7928852A" w14:textId="77777777" w:rsidR="00E71FCB" w:rsidRPr="00436869" w:rsidRDefault="00E71FCB" w:rsidP="00547618">
            <w:pPr>
              <w:pStyle w:val="TableParagraph"/>
              <w:spacing w:before="41" w:line="276" w:lineRule="auto"/>
              <w:ind w:left="33"/>
              <w:rPr>
                <w:rFonts w:eastAsia="Times New Roman" w:cstheme="minorHAnsi"/>
                <w:sz w:val="24"/>
                <w:szCs w:val="24"/>
              </w:rPr>
            </w:pPr>
          </w:p>
        </w:tc>
      </w:tr>
      <w:tr w:rsidR="00803A67" w:rsidRPr="00436869" w14:paraId="206D1790" w14:textId="77777777" w:rsidTr="00803A67">
        <w:trPr>
          <w:jc w:val="center"/>
        </w:trPr>
        <w:tc>
          <w:tcPr>
            <w:tcW w:w="12616" w:type="dxa"/>
            <w:gridSpan w:val="3"/>
            <w:shd w:val="clear" w:color="auto" w:fill="F2EDCE" w:themeFill="accent6" w:themeFillTint="33"/>
          </w:tcPr>
          <w:p w14:paraId="222836F5" w14:textId="77777777" w:rsidR="00803A67" w:rsidRPr="00436869" w:rsidRDefault="00803A67" w:rsidP="00803A67">
            <w:pPr>
              <w:pStyle w:val="TableParagraph"/>
              <w:spacing w:before="41" w:line="276" w:lineRule="auto"/>
              <w:ind w:right="101"/>
              <w:rPr>
                <w:rFonts w:cstheme="minorHAnsi"/>
                <w:sz w:val="24"/>
                <w:szCs w:val="24"/>
                <w:lang w:val="en-IE"/>
              </w:rPr>
            </w:pPr>
            <w:r w:rsidRPr="00436869">
              <w:rPr>
                <w:rFonts w:cstheme="minorHAnsi"/>
                <w:b/>
                <w:bCs/>
                <w:sz w:val="24"/>
                <w:szCs w:val="24"/>
                <w:lang w:val="en-IE"/>
              </w:rPr>
              <w:lastRenderedPageBreak/>
              <w:t>Article 30 General Publication</w:t>
            </w:r>
            <w:r w:rsidRPr="00436869">
              <w:rPr>
                <w:rFonts w:cstheme="minorHAnsi"/>
                <w:sz w:val="24"/>
                <w:szCs w:val="24"/>
                <w:lang w:val="en-IE"/>
              </w:rPr>
              <w:t xml:space="preserve"> </w:t>
            </w:r>
            <w:r w:rsidRPr="00436869">
              <w:rPr>
                <w:rFonts w:cstheme="minorHAnsi"/>
                <w:b/>
                <w:bCs/>
                <w:sz w:val="24"/>
                <w:szCs w:val="24"/>
                <w:lang w:val="en-IE"/>
              </w:rPr>
              <w:t>(Amended)</w:t>
            </w:r>
          </w:p>
          <w:p w14:paraId="46B4C818" w14:textId="1DCEED65" w:rsidR="00803A67" w:rsidRPr="00803A67" w:rsidRDefault="00803A67" w:rsidP="00803A67">
            <w:pPr>
              <w:pStyle w:val="TableParagraph"/>
              <w:spacing w:before="41" w:line="276" w:lineRule="auto"/>
              <w:ind w:right="101"/>
              <w:rPr>
                <w:rFonts w:cstheme="minorHAnsi"/>
                <w:i/>
                <w:iCs/>
                <w:sz w:val="24"/>
                <w:szCs w:val="24"/>
                <w:lang w:val="en-IE"/>
              </w:rPr>
            </w:pPr>
            <w:r w:rsidRPr="00436869">
              <w:rPr>
                <w:rFonts w:cstheme="minorHAnsi"/>
                <w:i/>
                <w:iCs/>
                <w:sz w:val="24"/>
                <w:szCs w:val="24"/>
                <w:lang w:val="en-IE"/>
              </w:rPr>
              <w:t>Point 1 subparagraph 2 (New)</w:t>
            </w:r>
          </w:p>
        </w:tc>
      </w:tr>
      <w:tr w:rsidR="00E71FCB" w:rsidRPr="00436869" w14:paraId="63D78FF3" w14:textId="77777777" w:rsidTr="00A1132D">
        <w:trPr>
          <w:jc w:val="center"/>
        </w:trPr>
        <w:tc>
          <w:tcPr>
            <w:tcW w:w="3397" w:type="dxa"/>
          </w:tcPr>
          <w:p w14:paraId="78A62CAD"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Member States </w:t>
            </w:r>
            <w:r w:rsidRPr="00436869">
              <w:rPr>
                <w:rFonts w:cstheme="minorHAnsi"/>
                <w:sz w:val="24"/>
                <w:szCs w:val="24"/>
                <w:u w:val="single"/>
              </w:rPr>
              <w:t>may</w:t>
            </w:r>
            <w:r w:rsidRPr="00436869">
              <w:rPr>
                <w:rFonts w:cstheme="minorHAnsi"/>
                <w:sz w:val="24"/>
                <w:szCs w:val="24"/>
              </w:rPr>
              <w:t xml:space="preserve"> require undertakings subject to Articles 19a and 29a to make the management report available to the public on their website, free of charge. Where an undertaking does not have a website, Member States </w:t>
            </w:r>
            <w:r w:rsidRPr="00436869">
              <w:rPr>
                <w:rFonts w:cstheme="minorHAnsi"/>
                <w:sz w:val="24"/>
                <w:szCs w:val="24"/>
                <w:u w:val="single"/>
              </w:rPr>
              <w:t>may</w:t>
            </w:r>
            <w:r w:rsidRPr="00436869">
              <w:rPr>
                <w:rFonts w:cstheme="minorHAnsi"/>
                <w:sz w:val="24"/>
                <w:szCs w:val="24"/>
              </w:rPr>
              <w:t xml:space="preserve"> require it to make a written copy of its management report available upon request.</w:t>
            </w:r>
          </w:p>
        </w:tc>
        <w:tc>
          <w:tcPr>
            <w:tcW w:w="3544" w:type="dxa"/>
          </w:tcPr>
          <w:p w14:paraId="7CF66239" w14:textId="77777777" w:rsidR="00E71FCB" w:rsidRPr="00436869" w:rsidRDefault="00E71FCB" w:rsidP="00803A67">
            <w:pPr>
              <w:pStyle w:val="TableParagraph"/>
              <w:spacing w:before="41" w:line="276" w:lineRule="auto"/>
              <w:rPr>
                <w:rFonts w:eastAsia="Times New Roman" w:cstheme="minorHAnsi"/>
                <w:sz w:val="24"/>
                <w:szCs w:val="24"/>
              </w:rPr>
            </w:pPr>
            <w:r w:rsidRPr="00436869">
              <w:rPr>
                <w:rFonts w:eastAsia="Times New Roman" w:cstheme="minorHAnsi"/>
                <w:sz w:val="24"/>
                <w:szCs w:val="24"/>
              </w:rPr>
              <w:t>Article 30 of the Accounting Directive sets out the publication requirements for annual financial statements and management reports (</w:t>
            </w:r>
            <w:proofErr w:type="gramStart"/>
            <w:r w:rsidRPr="00436869">
              <w:rPr>
                <w:rFonts w:eastAsia="Times New Roman" w:cstheme="minorHAnsi"/>
                <w:sz w:val="24"/>
                <w:szCs w:val="24"/>
              </w:rPr>
              <w:t>i.e.</w:t>
            </w:r>
            <w:proofErr w:type="gramEnd"/>
            <w:r w:rsidRPr="00436869">
              <w:rPr>
                <w:rFonts w:eastAsia="Times New Roman" w:cstheme="minorHAnsi"/>
                <w:sz w:val="24"/>
                <w:szCs w:val="24"/>
              </w:rPr>
              <w:t xml:space="preserve"> the directors’ report). </w:t>
            </w:r>
            <w:proofErr w:type="gramStart"/>
            <w:r w:rsidRPr="00436869">
              <w:rPr>
                <w:rFonts w:eastAsia="Times New Roman" w:cstheme="minorHAnsi"/>
                <w:sz w:val="24"/>
                <w:szCs w:val="24"/>
              </w:rPr>
              <w:t>As a general rule</w:t>
            </w:r>
            <w:proofErr w:type="gramEnd"/>
            <w:r w:rsidRPr="00436869">
              <w:rPr>
                <w:rFonts w:eastAsia="Times New Roman" w:cstheme="minorHAnsi"/>
                <w:sz w:val="24"/>
                <w:szCs w:val="24"/>
              </w:rPr>
              <w:t>, the management report must be filed with the Companies Registration Office.</w:t>
            </w:r>
          </w:p>
          <w:p w14:paraId="13232AD5" w14:textId="77777777" w:rsidR="00E71FCB" w:rsidRPr="00436869" w:rsidRDefault="00E71FCB" w:rsidP="00547618">
            <w:pPr>
              <w:pStyle w:val="TableParagraph"/>
              <w:spacing w:before="41" w:line="276" w:lineRule="auto"/>
              <w:ind w:left="33"/>
              <w:rPr>
                <w:rFonts w:eastAsia="Times New Roman" w:cstheme="minorHAnsi"/>
                <w:sz w:val="24"/>
                <w:szCs w:val="24"/>
              </w:rPr>
            </w:pPr>
          </w:p>
          <w:p w14:paraId="472EE640" w14:textId="77777777" w:rsidR="00E71FCB" w:rsidRPr="00436869" w:rsidRDefault="00E71FCB" w:rsidP="00547618">
            <w:pPr>
              <w:pStyle w:val="TableParagraph"/>
              <w:spacing w:before="41" w:line="276" w:lineRule="auto"/>
              <w:ind w:left="33"/>
              <w:rPr>
                <w:rFonts w:eastAsia="Times New Roman" w:cstheme="minorHAnsi"/>
                <w:sz w:val="24"/>
                <w:szCs w:val="24"/>
              </w:rPr>
            </w:pPr>
            <w:r w:rsidRPr="00436869">
              <w:rPr>
                <w:rFonts w:eastAsia="Times New Roman" w:cstheme="minorHAnsi"/>
                <w:sz w:val="24"/>
                <w:szCs w:val="24"/>
              </w:rPr>
              <w:t>This option allows Member States to require undertakings in scope of the requirements for sustainability reporting to publish the management report on their website or make a copy available upon request.</w:t>
            </w:r>
          </w:p>
        </w:tc>
        <w:tc>
          <w:tcPr>
            <w:tcW w:w="5675" w:type="dxa"/>
          </w:tcPr>
          <w:p w14:paraId="6D43F9EB" w14:textId="77777777" w:rsidR="00E71FCB" w:rsidRPr="00436869" w:rsidRDefault="00E71FCB" w:rsidP="00547618">
            <w:pPr>
              <w:pStyle w:val="TableParagraph"/>
              <w:spacing w:before="41" w:line="276" w:lineRule="auto"/>
              <w:ind w:left="33"/>
              <w:rPr>
                <w:rFonts w:eastAsia="Times New Roman" w:cstheme="minorHAnsi"/>
                <w:sz w:val="24"/>
                <w:szCs w:val="24"/>
              </w:rPr>
            </w:pPr>
          </w:p>
        </w:tc>
      </w:tr>
      <w:tr w:rsidR="00803A67" w:rsidRPr="00436869" w14:paraId="45015398" w14:textId="77777777" w:rsidTr="00803A67">
        <w:trPr>
          <w:jc w:val="center"/>
        </w:trPr>
        <w:tc>
          <w:tcPr>
            <w:tcW w:w="12616" w:type="dxa"/>
            <w:gridSpan w:val="3"/>
            <w:shd w:val="clear" w:color="auto" w:fill="F2EDCE" w:themeFill="accent6" w:themeFillTint="33"/>
          </w:tcPr>
          <w:p w14:paraId="0E67F3D1" w14:textId="4200138C" w:rsidR="00803A67" w:rsidRPr="00803A67" w:rsidRDefault="00803A67" w:rsidP="00803A67">
            <w:pPr>
              <w:pStyle w:val="TableParagraph"/>
              <w:spacing w:before="41" w:line="276" w:lineRule="auto"/>
              <w:ind w:right="101"/>
              <w:rPr>
                <w:rFonts w:cstheme="minorHAnsi"/>
                <w:i/>
                <w:iCs/>
                <w:sz w:val="24"/>
                <w:szCs w:val="24"/>
              </w:rPr>
            </w:pPr>
            <w:r w:rsidRPr="00436869">
              <w:rPr>
                <w:rFonts w:cstheme="minorHAnsi"/>
                <w:i/>
                <w:iCs/>
                <w:sz w:val="24"/>
                <w:szCs w:val="24"/>
              </w:rPr>
              <w:lastRenderedPageBreak/>
              <w:t xml:space="preserve">Point 1 subparagraph 4 (Existing)  </w:t>
            </w:r>
          </w:p>
        </w:tc>
      </w:tr>
      <w:tr w:rsidR="00E71FCB" w:rsidRPr="00436869" w14:paraId="34195762" w14:textId="77777777" w:rsidTr="00A1132D">
        <w:trPr>
          <w:jc w:val="center"/>
        </w:trPr>
        <w:tc>
          <w:tcPr>
            <w:tcW w:w="3397" w:type="dxa"/>
          </w:tcPr>
          <w:p w14:paraId="083170EF"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Member States </w:t>
            </w:r>
            <w:r w:rsidRPr="00436869">
              <w:rPr>
                <w:rFonts w:cstheme="minorHAnsi"/>
                <w:sz w:val="24"/>
                <w:szCs w:val="24"/>
                <w:u w:val="single"/>
              </w:rPr>
              <w:t>may</w:t>
            </w:r>
            <w:r w:rsidRPr="00436869">
              <w:rPr>
                <w:rFonts w:cstheme="minorHAnsi"/>
                <w:sz w:val="24"/>
                <w:szCs w:val="24"/>
              </w:rPr>
              <w:t>, however exempt undertakings from the obligation to publish the management report where a copy of all or part of any such report can be easily obtained upon request at a price not exceeding its administrative cost.</w:t>
            </w:r>
          </w:p>
          <w:p w14:paraId="6BC62EE7" w14:textId="77777777" w:rsidR="00E71FCB" w:rsidRPr="00436869" w:rsidRDefault="00E71FCB" w:rsidP="00547618">
            <w:pPr>
              <w:pStyle w:val="TableParagraph"/>
              <w:spacing w:before="41" w:line="276" w:lineRule="auto"/>
              <w:ind w:right="101"/>
              <w:rPr>
                <w:rFonts w:cstheme="minorHAnsi"/>
                <w:b/>
                <w:bCs/>
                <w:sz w:val="24"/>
                <w:szCs w:val="24"/>
                <w:lang w:val="en-IE"/>
              </w:rPr>
            </w:pPr>
          </w:p>
        </w:tc>
        <w:tc>
          <w:tcPr>
            <w:tcW w:w="3544" w:type="dxa"/>
          </w:tcPr>
          <w:p w14:paraId="4BB5AE5A"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As stated above </w:t>
            </w:r>
            <w:proofErr w:type="gramStart"/>
            <w:r w:rsidRPr="00436869">
              <w:rPr>
                <w:rFonts w:cstheme="minorHAnsi"/>
                <w:sz w:val="24"/>
                <w:szCs w:val="24"/>
              </w:rPr>
              <w:t>as a general rule</w:t>
            </w:r>
            <w:proofErr w:type="gramEnd"/>
            <w:r w:rsidRPr="00436869">
              <w:rPr>
                <w:rFonts w:cstheme="minorHAnsi"/>
                <w:sz w:val="24"/>
                <w:szCs w:val="24"/>
              </w:rPr>
              <w:t>, the management report must be filed with the Companies Registration Office.  Member States may exempt undertakings from this requirement provided the report can be readily obtained from the undertaking at a price not exceeding its administrative cost.</w:t>
            </w:r>
          </w:p>
          <w:p w14:paraId="13EE9A40" w14:textId="77777777" w:rsidR="00E71FCB" w:rsidRPr="00436869" w:rsidRDefault="00E71FCB" w:rsidP="00547618">
            <w:pPr>
              <w:pStyle w:val="TableParagraph"/>
              <w:spacing w:before="41" w:line="276" w:lineRule="auto"/>
              <w:rPr>
                <w:rFonts w:cstheme="minorHAnsi"/>
                <w:sz w:val="24"/>
                <w:szCs w:val="24"/>
              </w:rPr>
            </w:pPr>
          </w:p>
          <w:p w14:paraId="1C2DE0AF" w14:textId="77777777" w:rsidR="00E71FCB" w:rsidRDefault="00E71FCB" w:rsidP="00547618">
            <w:pPr>
              <w:pStyle w:val="TableParagraph"/>
              <w:spacing w:before="41" w:line="276" w:lineRule="auto"/>
              <w:rPr>
                <w:rFonts w:cstheme="minorHAnsi"/>
                <w:sz w:val="24"/>
                <w:szCs w:val="24"/>
              </w:rPr>
            </w:pPr>
            <w:r w:rsidRPr="00436869">
              <w:rPr>
                <w:rFonts w:cstheme="minorHAnsi"/>
                <w:sz w:val="24"/>
                <w:szCs w:val="24"/>
              </w:rPr>
              <w:t>This option is not new and was not taken in the transposition of Directive 2013/34/</w:t>
            </w:r>
            <w:proofErr w:type="gramStart"/>
            <w:r w:rsidRPr="00436869">
              <w:rPr>
                <w:rFonts w:cstheme="minorHAnsi"/>
                <w:sz w:val="24"/>
                <w:szCs w:val="24"/>
              </w:rPr>
              <w:t>EU</w:t>
            </w:r>
            <w:proofErr w:type="gramEnd"/>
            <w:r w:rsidRPr="00436869">
              <w:rPr>
                <w:rFonts w:cstheme="minorHAnsi"/>
                <w:sz w:val="24"/>
                <w:szCs w:val="24"/>
              </w:rPr>
              <w:t xml:space="preserve"> but it is repeated here for completeness.</w:t>
            </w:r>
          </w:p>
          <w:p w14:paraId="6251E904" w14:textId="77777777" w:rsidR="00A60D63" w:rsidRDefault="00A60D63" w:rsidP="00547618">
            <w:pPr>
              <w:pStyle w:val="TableParagraph"/>
              <w:spacing w:before="41" w:line="276" w:lineRule="auto"/>
              <w:rPr>
                <w:rFonts w:cstheme="minorHAnsi"/>
                <w:sz w:val="24"/>
                <w:szCs w:val="24"/>
              </w:rPr>
            </w:pPr>
          </w:p>
          <w:p w14:paraId="43A03DC6" w14:textId="27116B66" w:rsidR="00A60D63" w:rsidRPr="00436869" w:rsidRDefault="00A60D63" w:rsidP="00547618">
            <w:pPr>
              <w:pStyle w:val="TableParagraph"/>
              <w:spacing w:before="41" w:line="276" w:lineRule="auto"/>
              <w:rPr>
                <w:rFonts w:cstheme="minorHAnsi"/>
                <w:sz w:val="24"/>
                <w:szCs w:val="24"/>
              </w:rPr>
            </w:pPr>
          </w:p>
        </w:tc>
        <w:tc>
          <w:tcPr>
            <w:tcW w:w="5675" w:type="dxa"/>
          </w:tcPr>
          <w:p w14:paraId="756EBB6E" w14:textId="77777777" w:rsidR="00E71FCB" w:rsidRPr="00436869" w:rsidRDefault="00E71FCB" w:rsidP="00547618">
            <w:pPr>
              <w:pStyle w:val="TableParagraph"/>
              <w:spacing w:before="41" w:line="276" w:lineRule="auto"/>
              <w:ind w:left="33"/>
              <w:rPr>
                <w:rFonts w:cstheme="minorHAnsi"/>
                <w:sz w:val="24"/>
                <w:szCs w:val="24"/>
              </w:rPr>
            </w:pPr>
          </w:p>
        </w:tc>
      </w:tr>
      <w:tr w:rsidR="00803A67" w:rsidRPr="00436869" w14:paraId="5597A145" w14:textId="77777777" w:rsidTr="00803A67">
        <w:trPr>
          <w:jc w:val="center"/>
        </w:trPr>
        <w:tc>
          <w:tcPr>
            <w:tcW w:w="12616" w:type="dxa"/>
            <w:gridSpan w:val="3"/>
            <w:shd w:val="clear" w:color="auto" w:fill="F2EDCE" w:themeFill="accent6" w:themeFillTint="33"/>
          </w:tcPr>
          <w:p w14:paraId="3B7835F2" w14:textId="77777777" w:rsidR="00803A67" w:rsidRPr="00436869" w:rsidRDefault="00803A67" w:rsidP="00803A67">
            <w:pPr>
              <w:pStyle w:val="TableParagraph"/>
              <w:spacing w:before="41" w:line="276" w:lineRule="auto"/>
              <w:ind w:right="101"/>
              <w:rPr>
                <w:rFonts w:cstheme="minorHAnsi"/>
                <w:b/>
                <w:bCs/>
                <w:sz w:val="24"/>
                <w:szCs w:val="24"/>
              </w:rPr>
            </w:pPr>
            <w:r w:rsidRPr="00436869">
              <w:rPr>
                <w:rFonts w:cstheme="minorHAnsi"/>
                <w:b/>
                <w:bCs/>
                <w:sz w:val="24"/>
                <w:szCs w:val="24"/>
              </w:rPr>
              <w:lastRenderedPageBreak/>
              <w:t>Article 34.3 General Requirement Auditing (Amended)</w:t>
            </w:r>
          </w:p>
          <w:p w14:paraId="561DF046" w14:textId="401457D5" w:rsidR="00803A67" w:rsidRPr="00803A67" w:rsidRDefault="00803A67" w:rsidP="00803A67">
            <w:pPr>
              <w:pStyle w:val="TableParagraph"/>
              <w:spacing w:before="41" w:line="276" w:lineRule="auto"/>
              <w:ind w:right="101"/>
              <w:rPr>
                <w:rFonts w:cstheme="minorHAnsi"/>
                <w:i/>
                <w:iCs/>
                <w:sz w:val="24"/>
                <w:szCs w:val="24"/>
              </w:rPr>
            </w:pPr>
            <w:r w:rsidRPr="00436869">
              <w:rPr>
                <w:rFonts w:cstheme="minorHAnsi"/>
                <w:i/>
                <w:iCs/>
                <w:sz w:val="24"/>
                <w:szCs w:val="24"/>
              </w:rPr>
              <w:t>Point 3 (New)</w:t>
            </w:r>
          </w:p>
        </w:tc>
      </w:tr>
      <w:tr w:rsidR="00E71FCB" w:rsidRPr="00436869" w14:paraId="6A68AD31" w14:textId="77777777" w:rsidTr="00A1132D">
        <w:trPr>
          <w:jc w:val="center"/>
        </w:trPr>
        <w:tc>
          <w:tcPr>
            <w:tcW w:w="3397" w:type="dxa"/>
          </w:tcPr>
          <w:p w14:paraId="0996D7C9" w14:textId="77777777" w:rsidR="00E71FCB"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Member States </w:t>
            </w:r>
            <w:r w:rsidRPr="00436869">
              <w:rPr>
                <w:rFonts w:cstheme="minorHAnsi"/>
                <w:sz w:val="24"/>
                <w:szCs w:val="24"/>
                <w:u w:val="single"/>
              </w:rPr>
              <w:t>may</w:t>
            </w:r>
            <w:r w:rsidRPr="00436869">
              <w:rPr>
                <w:rFonts w:cstheme="minorHAnsi"/>
                <w:sz w:val="24"/>
                <w:szCs w:val="24"/>
              </w:rPr>
              <w:t xml:space="preserve"> allow a statutory auditor or an audit firm other than the one(s) carrying out the statutory audit of financial statements to </w:t>
            </w:r>
            <w:r w:rsidRPr="00AD0F97">
              <w:rPr>
                <w:rFonts w:cstheme="minorHAnsi"/>
                <w:sz w:val="24"/>
                <w:szCs w:val="24"/>
              </w:rPr>
              <w:t>express the opinion referred to in point (aa) of the second subparagraph of paragraph 1.</w:t>
            </w:r>
            <w:r>
              <w:rPr>
                <w:rFonts w:cstheme="minorHAnsi"/>
                <w:sz w:val="24"/>
                <w:szCs w:val="24"/>
              </w:rPr>
              <w:t xml:space="preserve"> </w:t>
            </w:r>
          </w:p>
          <w:p w14:paraId="7AE0E8C6" w14:textId="77777777" w:rsidR="00E71FCB" w:rsidRDefault="00E71FCB" w:rsidP="00547618">
            <w:pPr>
              <w:pStyle w:val="TableParagraph"/>
              <w:spacing w:before="41" w:line="276" w:lineRule="auto"/>
              <w:ind w:right="101"/>
              <w:rPr>
                <w:rFonts w:cstheme="minorHAnsi"/>
                <w:sz w:val="24"/>
                <w:szCs w:val="24"/>
              </w:rPr>
            </w:pPr>
          </w:p>
          <w:p w14:paraId="214EDAF5" w14:textId="77777777" w:rsidR="00E71FCB" w:rsidRPr="00436869" w:rsidRDefault="00E71FCB" w:rsidP="00547618">
            <w:pPr>
              <w:pStyle w:val="TableParagraph"/>
              <w:spacing w:before="41" w:line="276" w:lineRule="auto"/>
              <w:ind w:right="101"/>
              <w:rPr>
                <w:rFonts w:cstheme="minorHAnsi"/>
                <w:sz w:val="24"/>
                <w:szCs w:val="24"/>
              </w:rPr>
            </w:pPr>
            <w:r>
              <w:rPr>
                <w:rFonts w:cstheme="minorHAnsi"/>
                <w:sz w:val="24"/>
                <w:szCs w:val="24"/>
              </w:rPr>
              <w:t>(</w:t>
            </w:r>
            <w:proofErr w:type="gramStart"/>
            <w:r>
              <w:rPr>
                <w:rFonts w:cstheme="minorHAnsi"/>
                <w:sz w:val="24"/>
                <w:szCs w:val="24"/>
              </w:rPr>
              <w:t>i.e.</w:t>
            </w:r>
            <w:proofErr w:type="gramEnd"/>
            <w:r>
              <w:rPr>
                <w:rFonts w:cstheme="minorHAnsi"/>
                <w:sz w:val="24"/>
                <w:szCs w:val="24"/>
              </w:rPr>
              <w:t xml:space="preserve"> the opinion on the compliance with sustainability reporting)</w:t>
            </w:r>
          </w:p>
        </w:tc>
        <w:tc>
          <w:tcPr>
            <w:tcW w:w="3544" w:type="dxa"/>
          </w:tcPr>
          <w:p w14:paraId="2B74F0AD" w14:textId="77777777" w:rsidR="00E71FCB" w:rsidRPr="00436869" w:rsidRDefault="00E71FCB" w:rsidP="00547618">
            <w:pPr>
              <w:pStyle w:val="TableParagraph"/>
              <w:spacing w:before="41" w:line="276" w:lineRule="auto"/>
              <w:rPr>
                <w:rFonts w:eastAsia="Times New Roman" w:cstheme="minorHAnsi"/>
                <w:sz w:val="24"/>
                <w:szCs w:val="24"/>
              </w:rPr>
            </w:pPr>
            <w:r w:rsidRPr="00436869">
              <w:rPr>
                <w:rFonts w:eastAsia="Times New Roman" w:cstheme="minorHAnsi"/>
                <w:sz w:val="24"/>
                <w:szCs w:val="24"/>
              </w:rPr>
              <w:t>Article 34 of the Accounting Directive sets out the general requirement for the statutory audit of financial statements of undertakings. It is amended to provide for the assurance (audit) of sustainability reporting by undertakings.</w:t>
            </w:r>
          </w:p>
          <w:p w14:paraId="4041F749" w14:textId="77777777" w:rsidR="00E71FCB" w:rsidRPr="00436869" w:rsidRDefault="00E71FCB" w:rsidP="00547618">
            <w:pPr>
              <w:pStyle w:val="TableParagraph"/>
              <w:spacing w:before="41" w:line="276" w:lineRule="auto"/>
              <w:rPr>
                <w:rFonts w:eastAsia="Times New Roman" w:cstheme="minorHAnsi"/>
                <w:sz w:val="24"/>
                <w:szCs w:val="24"/>
              </w:rPr>
            </w:pPr>
          </w:p>
          <w:p w14:paraId="6C427C2F" w14:textId="73C9DB85" w:rsidR="00E71FCB" w:rsidRPr="00436869" w:rsidRDefault="00E71FCB" w:rsidP="00547618">
            <w:pPr>
              <w:pStyle w:val="TableParagraph"/>
              <w:spacing w:before="41" w:line="276" w:lineRule="auto"/>
              <w:rPr>
                <w:rFonts w:eastAsia="Times New Roman" w:cstheme="minorHAnsi"/>
                <w:sz w:val="24"/>
                <w:szCs w:val="24"/>
              </w:rPr>
            </w:pPr>
            <w:r w:rsidRPr="00436869">
              <w:rPr>
                <w:rFonts w:eastAsia="Times New Roman" w:cstheme="minorHAnsi"/>
                <w:sz w:val="24"/>
                <w:szCs w:val="24"/>
              </w:rPr>
              <w:t>This option allows Member States to permit undertakings to engage separate statutory auditors/audit firms to carry out the statutory audit of financial statements and the assurance of the sustainability reporting.</w:t>
            </w:r>
          </w:p>
          <w:p w14:paraId="4DA30EA9" w14:textId="77777777" w:rsidR="00E71FCB" w:rsidRPr="00436869" w:rsidRDefault="00E71FCB" w:rsidP="00547618">
            <w:pPr>
              <w:pStyle w:val="TableParagraph"/>
              <w:spacing w:before="41" w:line="276" w:lineRule="auto"/>
              <w:rPr>
                <w:rFonts w:eastAsia="Times New Roman" w:cstheme="minorHAnsi"/>
                <w:sz w:val="24"/>
                <w:szCs w:val="24"/>
              </w:rPr>
            </w:pPr>
          </w:p>
        </w:tc>
        <w:tc>
          <w:tcPr>
            <w:tcW w:w="5675" w:type="dxa"/>
          </w:tcPr>
          <w:p w14:paraId="03763F57" w14:textId="77777777" w:rsidR="00E71FCB" w:rsidRPr="00436869" w:rsidRDefault="00E71FCB" w:rsidP="00547618">
            <w:pPr>
              <w:pStyle w:val="TableParagraph"/>
              <w:spacing w:before="41" w:line="276" w:lineRule="auto"/>
              <w:rPr>
                <w:rFonts w:eastAsia="Times New Roman" w:cstheme="minorHAnsi"/>
                <w:sz w:val="24"/>
                <w:szCs w:val="24"/>
              </w:rPr>
            </w:pPr>
          </w:p>
        </w:tc>
      </w:tr>
      <w:tr w:rsidR="00803A67" w:rsidRPr="00436869" w14:paraId="600D2824" w14:textId="77777777" w:rsidTr="00803A67">
        <w:trPr>
          <w:jc w:val="center"/>
        </w:trPr>
        <w:tc>
          <w:tcPr>
            <w:tcW w:w="12616" w:type="dxa"/>
            <w:gridSpan w:val="3"/>
            <w:shd w:val="clear" w:color="auto" w:fill="F2EDCE" w:themeFill="accent6" w:themeFillTint="33"/>
          </w:tcPr>
          <w:p w14:paraId="5479CF29" w14:textId="4359C0C6" w:rsidR="00803A67" w:rsidRPr="00803A67" w:rsidRDefault="00803A67" w:rsidP="00803A67">
            <w:pPr>
              <w:pStyle w:val="TableParagraph"/>
              <w:spacing w:before="41" w:line="276" w:lineRule="auto"/>
              <w:ind w:right="101"/>
              <w:rPr>
                <w:rFonts w:cstheme="minorHAnsi"/>
                <w:i/>
                <w:iCs/>
                <w:sz w:val="24"/>
                <w:szCs w:val="24"/>
              </w:rPr>
            </w:pPr>
            <w:r w:rsidRPr="00436869">
              <w:rPr>
                <w:rFonts w:cstheme="minorHAnsi"/>
                <w:i/>
                <w:iCs/>
                <w:sz w:val="24"/>
                <w:szCs w:val="24"/>
              </w:rPr>
              <w:lastRenderedPageBreak/>
              <w:t>Points 4 and 5 Independent Assurance Services Provider (New)</w:t>
            </w:r>
          </w:p>
        </w:tc>
      </w:tr>
      <w:tr w:rsidR="00E71FCB" w:rsidRPr="00436869" w14:paraId="54468CCA" w14:textId="77777777" w:rsidTr="00A1132D">
        <w:trPr>
          <w:jc w:val="center"/>
        </w:trPr>
        <w:tc>
          <w:tcPr>
            <w:tcW w:w="3397" w:type="dxa"/>
          </w:tcPr>
          <w:p w14:paraId="55C2977E" w14:textId="65455115"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Member States </w:t>
            </w:r>
            <w:r w:rsidRPr="00436869">
              <w:rPr>
                <w:rFonts w:cstheme="minorHAnsi"/>
                <w:sz w:val="24"/>
                <w:szCs w:val="24"/>
                <w:u w:val="single"/>
              </w:rPr>
              <w:t>may</w:t>
            </w:r>
            <w:r w:rsidRPr="00436869">
              <w:rPr>
                <w:rFonts w:cstheme="minorHAnsi"/>
                <w:sz w:val="24"/>
                <w:szCs w:val="24"/>
              </w:rPr>
              <w:t xml:space="preserve"> allow an independent assurance services provider established in their territory to express the opinion referred to in point (aa) of the second subparagraph of paragraph 1, provided that such independent assurance services provider is subject to requirements that are equivalent to those set out in Directive 2006/43/EC of the European Parliament and of the Council as regards the assurance of sustainability reporting as defined in point 22 of Article 2 of that Directive, in particular the requirements on:</w:t>
            </w:r>
          </w:p>
          <w:p w14:paraId="253AAC6B"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lastRenderedPageBreak/>
              <w:t xml:space="preserve">(a) training and examination, ensuring that independent assurance services providers acquire the necessary expertise concerning sustainability reporting and the assurance of sustainability </w:t>
            </w:r>
            <w:proofErr w:type="gramStart"/>
            <w:r w:rsidRPr="00436869">
              <w:rPr>
                <w:rFonts w:cstheme="minorHAnsi"/>
                <w:sz w:val="24"/>
                <w:szCs w:val="24"/>
              </w:rPr>
              <w:t>reporting;</w:t>
            </w:r>
            <w:proofErr w:type="gramEnd"/>
          </w:p>
          <w:p w14:paraId="56F55112" w14:textId="77777777" w:rsidR="00E71FCB" w:rsidRPr="00436869" w:rsidRDefault="00E71FCB" w:rsidP="00547618">
            <w:pPr>
              <w:pStyle w:val="TableParagraph"/>
              <w:spacing w:before="41" w:line="276" w:lineRule="auto"/>
              <w:ind w:right="101"/>
              <w:rPr>
                <w:rFonts w:cstheme="minorHAnsi"/>
                <w:sz w:val="24"/>
                <w:szCs w:val="24"/>
              </w:rPr>
            </w:pPr>
          </w:p>
          <w:p w14:paraId="1C341554"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(b) continuing </w:t>
            </w:r>
            <w:proofErr w:type="gramStart"/>
            <w:r w:rsidRPr="00436869">
              <w:rPr>
                <w:rFonts w:cstheme="minorHAnsi"/>
                <w:sz w:val="24"/>
                <w:szCs w:val="24"/>
              </w:rPr>
              <w:t>education;</w:t>
            </w:r>
            <w:proofErr w:type="gramEnd"/>
          </w:p>
          <w:p w14:paraId="1522FFAD" w14:textId="77777777" w:rsidR="00E71FCB" w:rsidRPr="00436869" w:rsidRDefault="00E71FCB" w:rsidP="00547618">
            <w:pPr>
              <w:pStyle w:val="TableParagraph"/>
              <w:spacing w:before="41" w:line="276" w:lineRule="auto"/>
              <w:ind w:right="101"/>
              <w:rPr>
                <w:rFonts w:cstheme="minorHAnsi"/>
                <w:sz w:val="24"/>
                <w:szCs w:val="24"/>
              </w:rPr>
            </w:pPr>
          </w:p>
          <w:p w14:paraId="7AB74040"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(c) quality assurance </w:t>
            </w:r>
            <w:proofErr w:type="gramStart"/>
            <w:r w:rsidRPr="00436869">
              <w:rPr>
                <w:rFonts w:cstheme="minorHAnsi"/>
                <w:sz w:val="24"/>
                <w:szCs w:val="24"/>
              </w:rPr>
              <w:t>systems;</w:t>
            </w:r>
            <w:proofErr w:type="gramEnd"/>
          </w:p>
          <w:p w14:paraId="6328BE20" w14:textId="77777777" w:rsidR="00E71FCB" w:rsidRPr="00436869" w:rsidRDefault="00E71FCB" w:rsidP="00547618">
            <w:pPr>
              <w:pStyle w:val="TableParagraph"/>
              <w:spacing w:before="41" w:line="276" w:lineRule="auto"/>
              <w:ind w:right="101"/>
              <w:rPr>
                <w:rFonts w:cstheme="minorHAnsi"/>
                <w:sz w:val="24"/>
                <w:szCs w:val="24"/>
              </w:rPr>
            </w:pPr>
          </w:p>
          <w:p w14:paraId="2D12BA9A"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(d) professional ethics, independence, objectivity, confidentiality and professional </w:t>
            </w:r>
            <w:proofErr w:type="gramStart"/>
            <w:r w:rsidRPr="00436869">
              <w:rPr>
                <w:rFonts w:cstheme="minorHAnsi"/>
                <w:sz w:val="24"/>
                <w:szCs w:val="24"/>
              </w:rPr>
              <w:t>secrecy;</w:t>
            </w:r>
            <w:proofErr w:type="gramEnd"/>
          </w:p>
          <w:p w14:paraId="428D6BC7" w14:textId="77777777" w:rsidR="00E71FCB" w:rsidRPr="00436869" w:rsidRDefault="00E71FCB" w:rsidP="00547618">
            <w:pPr>
              <w:pStyle w:val="TableParagraph"/>
              <w:spacing w:before="41" w:line="276" w:lineRule="auto"/>
              <w:ind w:right="101"/>
              <w:rPr>
                <w:rFonts w:cstheme="minorHAnsi"/>
                <w:sz w:val="24"/>
                <w:szCs w:val="24"/>
              </w:rPr>
            </w:pPr>
          </w:p>
          <w:p w14:paraId="466C9639"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(e) appointment and </w:t>
            </w:r>
            <w:proofErr w:type="gramStart"/>
            <w:r w:rsidRPr="00436869">
              <w:rPr>
                <w:rFonts w:cstheme="minorHAnsi"/>
                <w:sz w:val="24"/>
                <w:szCs w:val="24"/>
              </w:rPr>
              <w:t>dismissal;</w:t>
            </w:r>
            <w:proofErr w:type="gramEnd"/>
          </w:p>
          <w:p w14:paraId="4ECBD5E2" w14:textId="77777777" w:rsidR="00E71FCB" w:rsidRPr="00436869" w:rsidRDefault="00E71FCB" w:rsidP="00547618">
            <w:pPr>
              <w:pStyle w:val="TableParagraph"/>
              <w:spacing w:before="41" w:line="276" w:lineRule="auto"/>
              <w:ind w:right="101"/>
              <w:rPr>
                <w:rFonts w:cstheme="minorHAnsi"/>
                <w:sz w:val="24"/>
                <w:szCs w:val="24"/>
              </w:rPr>
            </w:pPr>
          </w:p>
          <w:p w14:paraId="7CD91C62"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lastRenderedPageBreak/>
              <w:t xml:space="preserve">(f) investigations and </w:t>
            </w:r>
            <w:proofErr w:type="gramStart"/>
            <w:r w:rsidRPr="00436869">
              <w:rPr>
                <w:rFonts w:cstheme="minorHAnsi"/>
                <w:sz w:val="24"/>
                <w:szCs w:val="24"/>
              </w:rPr>
              <w:t>sanctions;</w:t>
            </w:r>
            <w:proofErr w:type="gramEnd"/>
          </w:p>
          <w:p w14:paraId="3022E146" w14:textId="77777777" w:rsidR="00E71FCB" w:rsidRPr="00436869" w:rsidRDefault="00E71FCB" w:rsidP="00547618">
            <w:pPr>
              <w:pStyle w:val="TableParagraph"/>
              <w:spacing w:before="41" w:line="276" w:lineRule="auto"/>
              <w:ind w:right="101"/>
              <w:rPr>
                <w:rFonts w:cstheme="minorHAnsi"/>
                <w:sz w:val="24"/>
                <w:szCs w:val="24"/>
              </w:rPr>
            </w:pPr>
          </w:p>
          <w:p w14:paraId="45291611"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(g) the organisation of the work of the independent assurance services provider, </w:t>
            </w:r>
            <w:proofErr w:type="gramStart"/>
            <w:r w:rsidRPr="00436869">
              <w:rPr>
                <w:rFonts w:cstheme="minorHAnsi"/>
                <w:sz w:val="24"/>
                <w:szCs w:val="24"/>
              </w:rPr>
              <w:t>in particular in</w:t>
            </w:r>
            <w:proofErr w:type="gramEnd"/>
            <w:r w:rsidRPr="00436869">
              <w:rPr>
                <w:rFonts w:cstheme="minorHAnsi"/>
                <w:sz w:val="24"/>
                <w:szCs w:val="24"/>
              </w:rPr>
              <w:t xml:space="preserve"> terms of sufficient resources and personnel and the maintenance of client account records and files; and</w:t>
            </w:r>
          </w:p>
          <w:p w14:paraId="544069A2" w14:textId="77777777" w:rsidR="00E71FCB" w:rsidRPr="00436869" w:rsidRDefault="00E71FCB" w:rsidP="00547618">
            <w:pPr>
              <w:pStyle w:val="TableParagraph"/>
              <w:spacing w:before="41" w:line="276" w:lineRule="auto"/>
              <w:ind w:right="101"/>
              <w:rPr>
                <w:rFonts w:cstheme="minorHAnsi"/>
                <w:sz w:val="24"/>
                <w:szCs w:val="24"/>
              </w:rPr>
            </w:pPr>
          </w:p>
          <w:p w14:paraId="4621556D"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(h) reporting irregularities.</w:t>
            </w:r>
          </w:p>
          <w:p w14:paraId="07D70DD1" w14:textId="77777777" w:rsidR="00E71FCB" w:rsidRPr="00436869" w:rsidRDefault="00E71FCB" w:rsidP="00547618">
            <w:pPr>
              <w:pStyle w:val="TableParagraph"/>
              <w:spacing w:before="41" w:line="276" w:lineRule="auto"/>
              <w:ind w:right="101"/>
              <w:rPr>
                <w:rFonts w:cstheme="minorHAnsi"/>
                <w:sz w:val="24"/>
                <w:szCs w:val="24"/>
              </w:rPr>
            </w:pPr>
          </w:p>
          <w:p w14:paraId="6039CEE2"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Member States shall ensure that, where an independent assurance services provider expresses the opinion referred to in point (aa) of the second subparagraph of paragraph 1 of this Article, that opinion is </w:t>
            </w:r>
            <w:r w:rsidRPr="00436869">
              <w:rPr>
                <w:rFonts w:cstheme="minorHAnsi"/>
                <w:sz w:val="24"/>
                <w:szCs w:val="24"/>
              </w:rPr>
              <w:lastRenderedPageBreak/>
              <w:t>prepared in accordance with Articles 26a, 27a and 28a of Directive 2006/43/EC and that, where applicable, the audit committee, or a dedicated committee, reviews and monitors the independence of the independent assurance services provider in accordance with point (e) of Article 39(6) of Directive 2006/43/EC.</w:t>
            </w:r>
          </w:p>
          <w:p w14:paraId="24C2AAA4" w14:textId="77777777" w:rsidR="00E71FCB" w:rsidRPr="00436869" w:rsidRDefault="00E71FCB" w:rsidP="00547618">
            <w:pPr>
              <w:pStyle w:val="TableParagraph"/>
              <w:spacing w:before="41" w:line="276" w:lineRule="auto"/>
              <w:ind w:right="101"/>
              <w:rPr>
                <w:rFonts w:cstheme="minorHAnsi"/>
                <w:sz w:val="24"/>
                <w:szCs w:val="24"/>
              </w:rPr>
            </w:pPr>
          </w:p>
          <w:p w14:paraId="5B1916B1"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Member States shall ensure that independent assurance services providers accredited before 1 January 2024 for the assurance of sustainability reporting, in accordance with Regulation (EC) No 765/2008, are not subject to the training </w:t>
            </w:r>
            <w:r w:rsidRPr="00436869">
              <w:rPr>
                <w:rFonts w:cstheme="minorHAnsi"/>
                <w:sz w:val="24"/>
                <w:szCs w:val="24"/>
              </w:rPr>
              <w:lastRenderedPageBreak/>
              <w:t>and examination requirements referred to in point (a) of the first subparagraph of this paragraph.</w:t>
            </w:r>
          </w:p>
          <w:p w14:paraId="6C885838" w14:textId="77777777" w:rsidR="00E71FCB" w:rsidRPr="00436869" w:rsidRDefault="00E71FCB" w:rsidP="00547618">
            <w:pPr>
              <w:pStyle w:val="TableParagraph"/>
              <w:spacing w:before="41" w:line="276" w:lineRule="auto"/>
              <w:ind w:right="101"/>
              <w:rPr>
                <w:rFonts w:cstheme="minorHAnsi"/>
                <w:sz w:val="24"/>
                <w:szCs w:val="24"/>
              </w:rPr>
            </w:pPr>
          </w:p>
          <w:p w14:paraId="45AD46F7"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Member States shall ensure that independent assurance services providers that on 1 January 2024 are undergoing the accreditation process in accordance with the relevant national requirements are not subject to the training and examination requirements referred to in point (a) of the first subparagraph as regards the assurance of sustainability reporting, provided they complete that process by 1 January 2026.</w:t>
            </w:r>
          </w:p>
          <w:p w14:paraId="23885DDB" w14:textId="77777777" w:rsidR="00E71FCB" w:rsidRPr="00436869" w:rsidRDefault="00E71FCB" w:rsidP="00547618">
            <w:pPr>
              <w:pStyle w:val="TableParagraph"/>
              <w:spacing w:before="41" w:line="276" w:lineRule="auto"/>
              <w:ind w:right="101"/>
              <w:rPr>
                <w:rFonts w:cstheme="minorHAnsi"/>
                <w:sz w:val="24"/>
                <w:szCs w:val="24"/>
              </w:rPr>
            </w:pPr>
          </w:p>
          <w:p w14:paraId="41855228"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Member States shall ensure that the independent assurance services providers referred to in the third and fourth subparagraphs acquire the necessary knowledge in sustainability reporting and the assurance of sustainability reporting via the continuing education requirement referred to in point (b) of the first subparagraph.</w:t>
            </w:r>
          </w:p>
          <w:p w14:paraId="32AD99D4" w14:textId="77777777" w:rsidR="00E71FCB" w:rsidRPr="00436869" w:rsidRDefault="00E71FCB" w:rsidP="00547618">
            <w:pPr>
              <w:pStyle w:val="TableParagraph"/>
              <w:spacing w:before="41" w:line="276" w:lineRule="auto"/>
              <w:ind w:right="101"/>
              <w:rPr>
                <w:rFonts w:cstheme="minorHAnsi"/>
                <w:sz w:val="24"/>
                <w:szCs w:val="24"/>
              </w:rPr>
            </w:pPr>
          </w:p>
          <w:p w14:paraId="48F336ED"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If a Member State, pursuant to the first subparagraph, decides to allow an independent assurance services provider to express the opinion referred to in point (aa) of the second </w:t>
            </w:r>
            <w:r w:rsidRPr="00436869">
              <w:rPr>
                <w:rFonts w:cstheme="minorHAnsi"/>
                <w:sz w:val="24"/>
                <w:szCs w:val="24"/>
              </w:rPr>
              <w:lastRenderedPageBreak/>
              <w:t>subparagraph of paragraph 1, it shall also allow a statutory auditor other than the one(s) carrying out the statutory audit of financial statements to do so, as provided for in paragraph 3.</w:t>
            </w:r>
          </w:p>
          <w:p w14:paraId="358F04EE" w14:textId="77777777" w:rsidR="00E71FCB" w:rsidRPr="00436869" w:rsidRDefault="00E71FCB" w:rsidP="00547618">
            <w:pPr>
              <w:pStyle w:val="TableParagraph"/>
              <w:spacing w:before="41" w:line="276" w:lineRule="auto"/>
              <w:ind w:right="101"/>
              <w:rPr>
                <w:rFonts w:cstheme="minorHAnsi"/>
                <w:sz w:val="24"/>
                <w:szCs w:val="24"/>
              </w:rPr>
            </w:pPr>
          </w:p>
          <w:p w14:paraId="4C2A2F31" w14:textId="2F4474B6"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5.   From 6 January 2027, a Member State that has made use of the option provided for in paragraph 4 (the “host Member State”) shall allow independent assurance services provider established in a Member State other than the host Member State (the “home Member State”) to carry out the assurance of sustainability reporting.</w:t>
            </w:r>
          </w:p>
          <w:p w14:paraId="09613FA0"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lastRenderedPageBreak/>
              <w:t>The home Member State shall be responsible for the supervision of the independent assurance services providers established in its territory, unless the host Member State decides to supervise the assurance of sustainability reporting carried out by independent assurance services providers in its territory.</w:t>
            </w:r>
          </w:p>
          <w:p w14:paraId="72D281E9" w14:textId="77777777" w:rsidR="00E71FCB" w:rsidRPr="00436869" w:rsidRDefault="00E71FCB" w:rsidP="00547618">
            <w:pPr>
              <w:pStyle w:val="TableParagraph"/>
              <w:spacing w:before="41" w:line="276" w:lineRule="auto"/>
              <w:ind w:right="101"/>
              <w:rPr>
                <w:rFonts w:cstheme="minorHAnsi"/>
                <w:sz w:val="24"/>
                <w:szCs w:val="24"/>
              </w:rPr>
            </w:pPr>
          </w:p>
          <w:p w14:paraId="10CECEF8"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If the host Member State decides to supervise the assurance of sustainability reporting carried out in its territory by independent assurance services providers registered in another Member </w:t>
            </w:r>
            <w:r w:rsidRPr="00436869">
              <w:rPr>
                <w:rFonts w:cstheme="minorHAnsi"/>
                <w:sz w:val="24"/>
                <w:szCs w:val="24"/>
              </w:rPr>
              <w:lastRenderedPageBreak/>
              <w:t>State, the host Member State shall:</w:t>
            </w:r>
          </w:p>
          <w:p w14:paraId="68E6B55E" w14:textId="77777777" w:rsidR="00E71FCB" w:rsidRPr="00436869" w:rsidRDefault="00E71FCB" w:rsidP="00547618">
            <w:pPr>
              <w:pStyle w:val="TableParagraph"/>
              <w:spacing w:before="41" w:line="276" w:lineRule="auto"/>
              <w:ind w:right="101"/>
              <w:rPr>
                <w:rFonts w:cstheme="minorHAnsi"/>
                <w:sz w:val="24"/>
                <w:szCs w:val="24"/>
              </w:rPr>
            </w:pPr>
          </w:p>
          <w:p w14:paraId="75C8B69B"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(a) not impose more stringent requirements or liability on such independent assurance services providers than those required for assurance of sustainability reporting by the national laws for the independent assurance services providers or auditors established in that host Member State; and</w:t>
            </w:r>
          </w:p>
          <w:p w14:paraId="301241E2" w14:textId="77777777" w:rsidR="00E71FCB" w:rsidRPr="00436869" w:rsidRDefault="00E71FCB" w:rsidP="00547618">
            <w:pPr>
              <w:pStyle w:val="TableParagraph"/>
              <w:spacing w:before="41" w:line="276" w:lineRule="auto"/>
              <w:ind w:right="101"/>
              <w:rPr>
                <w:rFonts w:cstheme="minorHAnsi"/>
                <w:sz w:val="24"/>
                <w:szCs w:val="24"/>
              </w:rPr>
            </w:pPr>
          </w:p>
          <w:p w14:paraId="47765265"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(b) inform other Member States about its decision to supervise the assurance of sustainability reporting carried out by independent assurance </w:t>
            </w:r>
            <w:r w:rsidRPr="00436869">
              <w:rPr>
                <w:rFonts w:cstheme="minorHAnsi"/>
                <w:sz w:val="24"/>
                <w:szCs w:val="24"/>
              </w:rPr>
              <w:lastRenderedPageBreak/>
              <w:t>services providers established in other Member States.</w:t>
            </w:r>
          </w:p>
          <w:p w14:paraId="2143B79F" w14:textId="77777777" w:rsidR="00E71FCB" w:rsidRPr="00436869" w:rsidRDefault="00E71FCB" w:rsidP="00547618">
            <w:pPr>
              <w:pStyle w:val="TableParagraph"/>
              <w:spacing w:before="41" w:line="276" w:lineRule="auto"/>
              <w:ind w:right="101"/>
              <w:rPr>
                <w:rFonts w:cstheme="minorHAnsi"/>
                <w:sz w:val="24"/>
                <w:szCs w:val="24"/>
              </w:rPr>
            </w:pPr>
          </w:p>
        </w:tc>
        <w:tc>
          <w:tcPr>
            <w:tcW w:w="3544" w:type="dxa"/>
          </w:tcPr>
          <w:p w14:paraId="616003E7" w14:textId="77777777" w:rsidR="00E71FCB" w:rsidRPr="00436869" w:rsidRDefault="00E71FCB" w:rsidP="00803A67">
            <w:pPr>
              <w:pStyle w:val="TableParagraph"/>
              <w:spacing w:before="41" w:line="276" w:lineRule="auto"/>
              <w:rPr>
                <w:rFonts w:eastAsia="Times New Roman" w:cstheme="minorHAnsi"/>
                <w:sz w:val="24"/>
                <w:szCs w:val="24"/>
              </w:rPr>
            </w:pPr>
            <w:r w:rsidRPr="00436869">
              <w:rPr>
                <w:rFonts w:eastAsia="Times New Roman" w:cstheme="minorHAnsi"/>
                <w:sz w:val="24"/>
                <w:szCs w:val="24"/>
              </w:rPr>
              <w:lastRenderedPageBreak/>
              <w:t xml:space="preserve">This option allows Member States to introduce a new category of Independent Assurance Services Provider (IASP) to provide for the assurance of sustainability reporting by undertakings. IASPs must be subject to equivalent requirements to statutory auditors in respect of this assurance work including in respect of training, education, quality assurance and investigations and sanctions. In due course Member States that exercise the option to introduce IASPs must also exercise the option to permit separate statutory auditors/audit firms to carry out the audit of financial </w:t>
            </w:r>
            <w:r w:rsidRPr="00436869">
              <w:rPr>
                <w:rFonts w:eastAsia="Times New Roman" w:cstheme="minorHAnsi"/>
                <w:sz w:val="24"/>
                <w:szCs w:val="24"/>
              </w:rPr>
              <w:lastRenderedPageBreak/>
              <w:t>statements and assurance of sustainability reporting. Member states that exercise the option to introduce IASPs must also in due course provide for home/host model of oversight of IASPs with other Member States.</w:t>
            </w:r>
          </w:p>
          <w:p w14:paraId="3B82B14D" w14:textId="77777777" w:rsidR="00E71FCB" w:rsidRPr="00436869" w:rsidRDefault="00E71FCB" w:rsidP="00547618">
            <w:pPr>
              <w:pStyle w:val="TableParagraph"/>
              <w:spacing w:before="41" w:line="276" w:lineRule="auto"/>
              <w:ind w:left="33"/>
              <w:rPr>
                <w:rFonts w:eastAsia="Times New Roman" w:cstheme="minorHAnsi"/>
                <w:sz w:val="24"/>
                <w:szCs w:val="24"/>
              </w:rPr>
            </w:pPr>
          </w:p>
        </w:tc>
        <w:tc>
          <w:tcPr>
            <w:tcW w:w="5675" w:type="dxa"/>
          </w:tcPr>
          <w:p w14:paraId="1FD89E88" w14:textId="77777777" w:rsidR="00E71FCB" w:rsidRPr="00436869" w:rsidRDefault="00E71FCB" w:rsidP="00547618">
            <w:pPr>
              <w:pStyle w:val="TableParagraph"/>
              <w:spacing w:before="41" w:line="276" w:lineRule="auto"/>
              <w:ind w:left="33"/>
              <w:rPr>
                <w:rFonts w:eastAsia="Times New Roman" w:cstheme="minorHAnsi"/>
                <w:sz w:val="24"/>
                <w:szCs w:val="24"/>
              </w:rPr>
            </w:pPr>
          </w:p>
        </w:tc>
      </w:tr>
      <w:tr w:rsidR="00803A67" w:rsidRPr="00436869" w14:paraId="1363402A" w14:textId="77777777" w:rsidTr="00803A67">
        <w:trPr>
          <w:jc w:val="center"/>
        </w:trPr>
        <w:tc>
          <w:tcPr>
            <w:tcW w:w="12616" w:type="dxa"/>
            <w:gridSpan w:val="3"/>
            <w:shd w:val="clear" w:color="auto" w:fill="F2EDCE" w:themeFill="accent6" w:themeFillTint="33"/>
          </w:tcPr>
          <w:p w14:paraId="463221AF" w14:textId="77777777" w:rsidR="00803A67" w:rsidRPr="00436869" w:rsidRDefault="00803A67" w:rsidP="00803A67">
            <w:pPr>
              <w:pStyle w:val="TableParagraph"/>
              <w:spacing w:before="41" w:line="276" w:lineRule="auto"/>
              <w:ind w:right="101"/>
              <w:rPr>
                <w:rFonts w:cstheme="minorHAnsi"/>
                <w:b/>
                <w:bCs/>
                <w:sz w:val="24"/>
                <w:szCs w:val="24"/>
                <w:lang w:val="en-IE"/>
              </w:rPr>
            </w:pPr>
            <w:r w:rsidRPr="00436869">
              <w:rPr>
                <w:rFonts w:cstheme="minorHAnsi"/>
                <w:b/>
                <w:bCs/>
                <w:sz w:val="24"/>
                <w:szCs w:val="24"/>
                <w:lang w:val="en-IE"/>
              </w:rPr>
              <w:lastRenderedPageBreak/>
              <w:t>Article 40a Sustainability Reports concerning third-country undertakings (New)</w:t>
            </w:r>
          </w:p>
          <w:p w14:paraId="42320128" w14:textId="0446BF45" w:rsidR="00803A67" w:rsidRPr="00803A67" w:rsidRDefault="00803A67" w:rsidP="00803A67">
            <w:pPr>
              <w:pStyle w:val="TableParagraph"/>
              <w:spacing w:before="41" w:line="276" w:lineRule="auto"/>
              <w:ind w:right="101"/>
              <w:rPr>
                <w:rFonts w:cstheme="minorHAnsi"/>
                <w:i/>
                <w:iCs/>
                <w:sz w:val="24"/>
                <w:szCs w:val="24"/>
                <w:lang w:val="en-IE"/>
              </w:rPr>
            </w:pPr>
            <w:r w:rsidRPr="00436869">
              <w:rPr>
                <w:rFonts w:cstheme="minorHAnsi"/>
                <w:i/>
                <w:iCs/>
                <w:sz w:val="24"/>
                <w:szCs w:val="24"/>
                <w:lang w:val="en-IE"/>
              </w:rPr>
              <w:t>Point 1 last subparagraph (new)</w:t>
            </w:r>
          </w:p>
        </w:tc>
      </w:tr>
      <w:tr w:rsidR="00E71FCB" w:rsidRPr="00436869" w14:paraId="4675D6C2" w14:textId="77777777" w:rsidTr="00A1132D">
        <w:trPr>
          <w:jc w:val="center"/>
        </w:trPr>
        <w:tc>
          <w:tcPr>
            <w:tcW w:w="3397" w:type="dxa"/>
            <w:tcBorders>
              <w:bottom w:val="single" w:sz="4" w:space="0" w:color="auto"/>
            </w:tcBorders>
          </w:tcPr>
          <w:p w14:paraId="0013127B"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Member States </w:t>
            </w:r>
            <w:r w:rsidRPr="00436869">
              <w:rPr>
                <w:rFonts w:cstheme="minorHAnsi"/>
                <w:sz w:val="24"/>
                <w:szCs w:val="24"/>
                <w:u w:val="single"/>
              </w:rPr>
              <w:t>may</w:t>
            </w:r>
            <w:r w:rsidRPr="00436869">
              <w:rPr>
                <w:rFonts w:cstheme="minorHAnsi"/>
                <w:sz w:val="24"/>
                <w:szCs w:val="24"/>
              </w:rPr>
              <w:t xml:space="preserve"> require subsidiary undertakings or branches referred to in the first and third subparagraphs to send them information about the net turnover generated in their territory and in the Union by the third-country undertakings.</w:t>
            </w:r>
          </w:p>
        </w:tc>
        <w:tc>
          <w:tcPr>
            <w:tcW w:w="3544" w:type="dxa"/>
            <w:tcBorders>
              <w:bottom w:val="single" w:sz="4" w:space="0" w:color="auto"/>
            </w:tcBorders>
          </w:tcPr>
          <w:p w14:paraId="02561AF2" w14:textId="77777777" w:rsidR="00E71FCB" w:rsidRDefault="00E71FCB" w:rsidP="00803A67">
            <w:pPr>
              <w:pStyle w:val="TableParagraph"/>
              <w:spacing w:before="41" w:line="276" w:lineRule="auto"/>
              <w:rPr>
                <w:rFonts w:eastAsia="Times New Roman" w:cstheme="minorHAnsi"/>
                <w:sz w:val="24"/>
                <w:szCs w:val="24"/>
              </w:rPr>
            </w:pPr>
            <w:r w:rsidRPr="00436869">
              <w:rPr>
                <w:rFonts w:eastAsia="Times New Roman" w:cstheme="minorHAnsi"/>
                <w:sz w:val="24"/>
                <w:szCs w:val="24"/>
              </w:rPr>
              <w:t xml:space="preserve">This is a new Article 40a inserted into the Accounting Directive on sustainability reports concerning third country undertakings. This option underpins the requirement for sustainability reports by large subsidiaries and branches operating in the EU (turnover &gt; €40 million) of non-EU companies (turnover in the EU &gt; €150 million). It permits Member States to require subsidiary undertakings and branches to send information about net turnover generated in </w:t>
            </w:r>
            <w:r w:rsidRPr="00436869">
              <w:rPr>
                <w:rFonts w:eastAsia="Times New Roman" w:cstheme="minorHAnsi"/>
                <w:sz w:val="24"/>
                <w:szCs w:val="24"/>
              </w:rPr>
              <w:lastRenderedPageBreak/>
              <w:t>the Member State and in the EU.</w:t>
            </w:r>
          </w:p>
          <w:p w14:paraId="3C5478E7" w14:textId="77777777" w:rsidR="00E71FCB" w:rsidRPr="00436869" w:rsidRDefault="00E71FCB" w:rsidP="00547618">
            <w:pPr>
              <w:pStyle w:val="TableParagraph"/>
              <w:spacing w:before="41" w:line="276" w:lineRule="auto"/>
              <w:ind w:left="33"/>
              <w:rPr>
                <w:rFonts w:eastAsia="Times New Roman" w:cstheme="minorHAnsi"/>
                <w:sz w:val="24"/>
                <w:szCs w:val="24"/>
              </w:rPr>
            </w:pPr>
          </w:p>
        </w:tc>
        <w:tc>
          <w:tcPr>
            <w:tcW w:w="5675" w:type="dxa"/>
            <w:tcBorders>
              <w:bottom w:val="single" w:sz="4" w:space="0" w:color="auto"/>
            </w:tcBorders>
          </w:tcPr>
          <w:p w14:paraId="0FAEF83C" w14:textId="77777777" w:rsidR="00E71FCB" w:rsidRPr="00436869" w:rsidRDefault="00E71FCB" w:rsidP="00547618">
            <w:pPr>
              <w:pStyle w:val="TableParagraph"/>
              <w:spacing w:before="41" w:line="276" w:lineRule="auto"/>
              <w:ind w:left="33"/>
              <w:rPr>
                <w:rFonts w:eastAsia="Times New Roman" w:cstheme="minorHAnsi"/>
                <w:sz w:val="24"/>
                <w:szCs w:val="24"/>
              </w:rPr>
            </w:pPr>
          </w:p>
        </w:tc>
      </w:tr>
      <w:tr w:rsidR="00803A67" w:rsidRPr="00436869" w14:paraId="0F503945" w14:textId="77777777" w:rsidTr="00803A67">
        <w:trPr>
          <w:jc w:val="center"/>
        </w:trPr>
        <w:tc>
          <w:tcPr>
            <w:tcW w:w="12616" w:type="dxa"/>
            <w:gridSpan w:val="3"/>
            <w:shd w:val="clear" w:color="auto" w:fill="D9C96D" w:themeFill="accent6" w:themeFillTint="99"/>
          </w:tcPr>
          <w:p w14:paraId="3A133E77" w14:textId="3FA7EDA0" w:rsidR="00803A67" w:rsidRPr="00436869" w:rsidRDefault="00803A67" w:rsidP="00547618">
            <w:pPr>
              <w:pStyle w:val="TableParagraph"/>
              <w:spacing w:before="41" w:line="276" w:lineRule="auto"/>
              <w:ind w:left="33"/>
              <w:rPr>
                <w:rFonts w:eastAsia="Times New Roman" w:cstheme="minorHAnsi"/>
                <w:sz w:val="24"/>
                <w:szCs w:val="24"/>
              </w:rPr>
            </w:pPr>
            <w:r w:rsidRPr="00436869">
              <w:rPr>
                <w:rFonts w:cstheme="minorHAnsi"/>
                <w:b/>
                <w:bCs/>
                <w:sz w:val="24"/>
                <w:szCs w:val="24"/>
              </w:rPr>
              <w:t>Article 3 Amendments to Directive 2006/43/EC the Audit Directive</w:t>
            </w:r>
          </w:p>
        </w:tc>
      </w:tr>
      <w:tr w:rsidR="00803A67" w:rsidRPr="00436869" w14:paraId="6601F39B" w14:textId="77777777" w:rsidTr="000E6A47">
        <w:trPr>
          <w:jc w:val="center"/>
        </w:trPr>
        <w:tc>
          <w:tcPr>
            <w:tcW w:w="12616" w:type="dxa"/>
            <w:gridSpan w:val="3"/>
            <w:shd w:val="clear" w:color="auto" w:fill="F2EDCE" w:themeFill="accent6" w:themeFillTint="33"/>
          </w:tcPr>
          <w:p w14:paraId="61C45830" w14:textId="77777777" w:rsidR="00803A67" w:rsidRPr="00436869" w:rsidRDefault="00803A67" w:rsidP="00803A67">
            <w:pPr>
              <w:pStyle w:val="TableParagraph"/>
              <w:spacing w:before="41" w:line="276" w:lineRule="auto"/>
              <w:ind w:right="101"/>
              <w:rPr>
                <w:rFonts w:cstheme="minorHAnsi"/>
                <w:b/>
                <w:bCs/>
                <w:sz w:val="24"/>
                <w:szCs w:val="24"/>
              </w:rPr>
            </w:pPr>
            <w:r w:rsidRPr="00436869">
              <w:rPr>
                <w:rFonts w:cstheme="minorHAnsi"/>
                <w:b/>
                <w:bCs/>
                <w:sz w:val="24"/>
                <w:szCs w:val="24"/>
              </w:rPr>
              <w:t>Article 12 Combination of practical training and theoretical instruction (replaced)</w:t>
            </w:r>
          </w:p>
          <w:p w14:paraId="4F1B5112" w14:textId="4DB4CED9" w:rsidR="00803A67" w:rsidRPr="00803A67" w:rsidRDefault="00803A67" w:rsidP="00803A67">
            <w:pPr>
              <w:pStyle w:val="TableParagraph"/>
              <w:spacing w:before="41" w:line="276" w:lineRule="auto"/>
              <w:ind w:right="101"/>
              <w:rPr>
                <w:rFonts w:cstheme="minorHAnsi"/>
                <w:i/>
                <w:iCs/>
                <w:sz w:val="24"/>
                <w:szCs w:val="24"/>
              </w:rPr>
            </w:pPr>
            <w:r w:rsidRPr="00436869">
              <w:rPr>
                <w:rFonts w:cstheme="minorHAnsi"/>
                <w:i/>
                <w:iCs/>
                <w:sz w:val="24"/>
                <w:szCs w:val="24"/>
              </w:rPr>
              <w:t>Point 1 (existing)</w:t>
            </w:r>
          </w:p>
        </w:tc>
      </w:tr>
      <w:tr w:rsidR="00E71FCB" w:rsidRPr="00436869" w14:paraId="25F46C9C" w14:textId="77777777" w:rsidTr="00A1132D">
        <w:trPr>
          <w:jc w:val="center"/>
        </w:trPr>
        <w:tc>
          <w:tcPr>
            <w:tcW w:w="3397" w:type="dxa"/>
          </w:tcPr>
          <w:p w14:paraId="1ABBE04F"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1.   Member States </w:t>
            </w:r>
            <w:r w:rsidRPr="00436869">
              <w:rPr>
                <w:rFonts w:cstheme="minorHAnsi"/>
                <w:sz w:val="24"/>
                <w:szCs w:val="24"/>
                <w:u w:val="single"/>
              </w:rPr>
              <w:t>may</w:t>
            </w:r>
            <w:r w:rsidRPr="00436869">
              <w:rPr>
                <w:rFonts w:cstheme="minorHAnsi"/>
                <w:sz w:val="24"/>
                <w:szCs w:val="24"/>
              </w:rPr>
              <w:t xml:space="preserve"> provide </w:t>
            </w:r>
            <w:proofErr w:type="gramStart"/>
            <w:r w:rsidRPr="00436869">
              <w:rPr>
                <w:rFonts w:cstheme="minorHAnsi"/>
                <w:sz w:val="24"/>
                <w:szCs w:val="24"/>
              </w:rPr>
              <w:t>that periods of theoretical instruction</w:t>
            </w:r>
            <w:proofErr w:type="gramEnd"/>
            <w:r w:rsidRPr="00436869">
              <w:rPr>
                <w:rFonts w:cstheme="minorHAnsi"/>
                <w:sz w:val="24"/>
                <w:szCs w:val="24"/>
              </w:rPr>
              <w:t xml:space="preserve"> in the subjects referred to in Article 8(1) and (2) shall count towards the periods of professional activity referred to in Article 11, provided that such instruction is attested by an examination </w:t>
            </w:r>
            <w:proofErr w:type="spellStart"/>
            <w:r w:rsidRPr="00436869">
              <w:rPr>
                <w:rFonts w:cstheme="minorHAnsi"/>
                <w:sz w:val="24"/>
                <w:szCs w:val="24"/>
              </w:rPr>
              <w:t>recognised</w:t>
            </w:r>
            <w:proofErr w:type="spellEnd"/>
            <w:r w:rsidRPr="00436869">
              <w:rPr>
                <w:rFonts w:cstheme="minorHAnsi"/>
                <w:sz w:val="24"/>
                <w:szCs w:val="24"/>
              </w:rPr>
              <w:t xml:space="preserve"> by the Member State. Such instruction shall not last less than one year, nor may it reduce the period of </w:t>
            </w:r>
            <w:r w:rsidRPr="00436869">
              <w:rPr>
                <w:rFonts w:cstheme="minorHAnsi"/>
                <w:sz w:val="24"/>
                <w:szCs w:val="24"/>
              </w:rPr>
              <w:lastRenderedPageBreak/>
              <w:t>professional activity by more than four years.</w:t>
            </w:r>
          </w:p>
          <w:p w14:paraId="3498FD0F" w14:textId="77777777" w:rsidR="00E71FCB" w:rsidRPr="00436869" w:rsidRDefault="00E71FCB" w:rsidP="00547618">
            <w:pPr>
              <w:pStyle w:val="TableParagraph"/>
              <w:spacing w:before="41" w:line="276" w:lineRule="auto"/>
              <w:ind w:right="101"/>
              <w:rPr>
                <w:rFonts w:cstheme="minorHAnsi"/>
                <w:sz w:val="24"/>
                <w:szCs w:val="24"/>
              </w:rPr>
            </w:pPr>
          </w:p>
          <w:p w14:paraId="6C30F16D"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2.   The period of professional activity and practical training shall not be shorter than the course of theoretical instruction together with the practical training required under the first subparagraph of Article 10(1).’;</w:t>
            </w:r>
          </w:p>
        </w:tc>
        <w:tc>
          <w:tcPr>
            <w:tcW w:w="3544" w:type="dxa"/>
          </w:tcPr>
          <w:p w14:paraId="256C12FB" w14:textId="77777777" w:rsidR="00E71FCB" w:rsidRPr="00436869" w:rsidRDefault="00E71FCB" w:rsidP="00803A67">
            <w:pPr>
              <w:pStyle w:val="TableParagraph"/>
              <w:spacing w:before="41" w:line="276" w:lineRule="auto"/>
              <w:rPr>
                <w:rFonts w:eastAsia="Times New Roman" w:cstheme="minorHAnsi"/>
                <w:sz w:val="24"/>
                <w:szCs w:val="24"/>
              </w:rPr>
            </w:pPr>
            <w:r w:rsidRPr="00436869">
              <w:rPr>
                <w:rFonts w:eastAsia="Times New Roman" w:cstheme="minorHAnsi"/>
                <w:sz w:val="24"/>
                <w:szCs w:val="24"/>
              </w:rPr>
              <w:lastRenderedPageBreak/>
              <w:t xml:space="preserve">This Article and option </w:t>
            </w:r>
            <w:proofErr w:type="gramStart"/>
            <w:r w:rsidRPr="00436869">
              <w:rPr>
                <w:rFonts w:eastAsia="Times New Roman" w:cstheme="minorHAnsi"/>
                <w:sz w:val="24"/>
                <w:szCs w:val="24"/>
              </w:rPr>
              <w:t>allows</w:t>
            </w:r>
            <w:proofErr w:type="gramEnd"/>
            <w:r w:rsidRPr="00436869">
              <w:rPr>
                <w:rFonts w:eastAsia="Times New Roman" w:cstheme="minorHAnsi"/>
                <w:sz w:val="24"/>
                <w:szCs w:val="24"/>
              </w:rPr>
              <w:t xml:space="preserve"> Member States to permit that periods of study can count towards professional activity periods required in Article 11 which governs qualifications through long term practical experience of statutory auditors. There is no substantive change to this </w:t>
            </w:r>
            <w:proofErr w:type="gramStart"/>
            <w:r w:rsidRPr="00436869">
              <w:rPr>
                <w:rFonts w:eastAsia="Times New Roman" w:cstheme="minorHAnsi"/>
                <w:sz w:val="24"/>
                <w:szCs w:val="24"/>
              </w:rPr>
              <w:t>option</w:t>
            </w:r>
            <w:proofErr w:type="gramEnd"/>
            <w:r w:rsidRPr="00436869">
              <w:rPr>
                <w:rFonts w:eastAsia="Times New Roman" w:cstheme="minorHAnsi"/>
                <w:sz w:val="24"/>
                <w:szCs w:val="24"/>
              </w:rPr>
              <w:t xml:space="preserve"> and it is not concerned with sustainability reporting but it is amended to take account of new cross-references in Article 8 arising </w:t>
            </w:r>
            <w:r w:rsidRPr="00436869">
              <w:rPr>
                <w:rFonts w:eastAsia="Times New Roman" w:cstheme="minorHAnsi"/>
                <w:sz w:val="24"/>
                <w:szCs w:val="24"/>
              </w:rPr>
              <w:lastRenderedPageBreak/>
              <w:t xml:space="preserve">from the amending Directive. It was not exercised in the transpositions of Directive 2006/43/EC and Directive 2014/56/EU however it is repeated here for completeness. </w:t>
            </w:r>
          </w:p>
          <w:p w14:paraId="3E20EDC4" w14:textId="77777777" w:rsidR="00E71FCB" w:rsidRPr="00436869" w:rsidRDefault="00E71FCB" w:rsidP="00547618">
            <w:pPr>
              <w:pStyle w:val="TableParagraph"/>
              <w:spacing w:before="41" w:line="276" w:lineRule="auto"/>
              <w:rPr>
                <w:rFonts w:eastAsia="Times New Roman" w:cstheme="minorHAnsi"/>
                <w:sz w:val="24"/>
                <w:szCs w:val="24"/>
              </w:rPr>
            </w:pPr>
          </w:p>
          <w:p w14:paraId="104E5617" w14:textId="77777777" w:rsidR="00E71FCB" w:rsidRPr="00436869" w:rsidRDefault="00E71FCB" w:rsidP="00547618">
            <w:pPr>
              <w:pStyle w:val="TableParagraph"/>
              <w:spacing w:before="41" w:line="276" w:lineRule="auto"/>
              <w:ind w:left="33"/>
              <w:rPr>
                <w:rFonts w:eastAsia="Times New Roman" w:cstheme="minorHAnsi"/>
                <w:sz w:val="24"/>
                <w:szCs w:val="24"/>
              </w:rPr>
            </w:pPr>
          </w:p>
        </w:tc>
        <w:tc>
          <w:tcPr>
            <w:tcW w:w="5675" w:type="dxa"/>
          </w:tcPr>
          <w:p w14:paraId="28497AB0" w14:textId="77777777" w:rsidR="00E71FCB" w:rsidRPr="00436869" w:rsidRDefault="00E71FCB" w:rsidP="00547618">
            <w:pPr>
              <w:pStyle w:val="TableParagraph"/>
              <w:spacing w:before="41" w:line="276" w:lineRule="auto"/>
              <w:ind w:left="33"/>
              <w:rPr>
                <w:rFonts w:eastAsia="Times New Roman" w:cstheme="minorHAnsi"/>
                <w:sz w:val="24"/>
                <w:szCs w:val="24"/>
              </w:rPr>
            </w:pPr>
          </w:p>
        </w:tc>
      </w:tr>
      <w:tr w:rsidR="00803A67" w:rsidRPr="00436869" w14:paraId="161B72DC" w14:textId="77777777" w:rsidTr="00803A67">
        <w:trPr>
          <w:jc w:val="center"/>
        </w:trPr>
        <w:tc>
          <w:tcPr>
            <w:tcW w:w="12616" w:type="dxa"/>
            <w:gridSpan w:val="3"/>
            <w:shd w:val="clear" w:color="auto" w:fill="F2EDCE" w:themeFill="accent6" w:themeFillTint="33"/>
          </w:tcPr>
          <w:p w14:paraId="71EF7C82" w14:textId="77777777" w:rsidR="00803A67" w:rsidRPr="00436869" w:rsidRDefault="00803A67" w:rsidP="00803A67">
            <w:pPr>
              <w:pStyle w:val="TableParagraph"/>
              <w:spacing w:before="41" w:line="276" w:lineRule="auto"/>
              <w:ind w:right="101"/>
              <w:rPr>
                <w:rFonts w:cstheme="minorHAnsi"/>
                <w:b/>
                <w:bCs/>
                <w:sz w:val="24"/>
                <w:szCs w:val="24"/>
              </w:rPr>
            </w:pPr>
            <w:r w:rsidRPr="00436869">
              <w:rPr>
                <w:rFonts w:cstheme="minorHAnsi"/>
                <w:b/>
                <w:bCs/>
                <w:sz w:val="24"/>
                <w:szCs w:val="24"/>
              </w:rPr>
              <w:t>Article 26a Assurance Standards for sustainability reporting (New)</w:t>
            </w:r>
          </w:p>
          <w:p w14:paraId="3C474B2B" w14:textId="0E4AA986" w:rsidR="00803A67" w:rsidRPr="00803A67" w:rsidRDefault="00803A67" w:rsidP="00803A67">
            <w:pPr>
              <w:pStyle w:val="TableParagraph"/>
              <w:spacing w:before="41" w:line="276" w:lineRule="auto"/>
              <w:ind w:right="101"/>
              <w:rPr>
                <w:rFonts w:cstheme="minorHAnsi"/>
                <w:i/>
                <w:iCs/>
                <w:sz w:val="24"/>
                <w:szCs w:val="24"/>
              </w:rPr>
            </w:pPr>
            <w:r w:rsidRPr="00436869">
              <w:rPr>
                <w:rFonts w:cstheme="minorHAnsi"/>
                <w:i/>
                <w:iCs/>
                <w:sz w:val="24"/>
                <w:szCs w:val="24"/>
              </w:rPr>
              <w:t>Point 2 (New)</w:t>
            </w:r>
          </w:p>
        </w:tc>
      </w:tr>
      <w:tr w:rsidR="00E71FCB" w:rsidRPr="00436869" w14:paraId="72690F7F" w14:textId="77777777" w:rsidTr="00A1132D">
        <w:trPr>
          <w:jc w:val="center"/>
        </w:trPr>
        <w:tc>
          <w:tcPr>
            <w:tcW w:w="3397" w:type="dxa"/>
          </w:tcPr>
          <w:p w14:paraId="4E2A1A23"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2. Member States </w:t>
            </w:r>
            <w:r w:rsidRPr="00436869">
              <w:rPr>
                <w:rFonts w:cstheme="minorHAnsi"/>
                <w:sz w:val="24"/>
                <w:szCs w:val="24"/>
                <w:u w:val="single"/>
              </w:rPr>
              <w:t>may</w:t>
            </w:r>
            <w:r w:rsidRPr="00436869">
              <w:rPr>
                <w:rFonts w:cstheme="minorHAnsi"/>
                <w:sz w:val="24"/>
                <w:szCs w:val="24"/>
              </w:rPr>
              <w:t xml:space="preserve"> apply national assurance standards, </w:t>
            </w:r>
            <w:proofErr w:type="gramStart"/>
            <w:r w:rsidRPr="00436869">
              <w:rPr>
                <w:rFonts w:cstheme="minorHAnsi"/>
                <w:sz w:val="24"/>
                <w:szCs w:val="24"/>
              </w:rPr>
              <w:t>procedures</w:t>
            </w:r>
            <w:proofErr w:type="gramEnd"/>
            <w:r w:rsidRPr="00436869">
              <w:rPr>
                <w:rFonts w:cstheme="minorHAnsi"/>
                <w:sz w:val="24"/>
                <w:szCs w:val="24"/>
              </w:rPr>
              <w:t xml:space="preserve"> or requirements as long as the Commission has not adopted an assurance standard covering the same </w:t>
            </w:r>
            <w:r w:rsidRPr="00436869">
              <w:rPr>
                <w:rFonts w:cstheme="minorHAnsi"/>
                <w:sz w:val="24"/>
                <w:szCs w:val="24"/>
              </w:rPr>
              <w:lastRenderedPageBreak/>
              <w:t>subject matter.</w:t>
            </w:r>
          </w:p>
          <w:p w14:paraId="403983A9" w14:textId="77777777" w:rsidR="00E71FCB" w:rsidRPr="00436869" w:rsidRDefault="00E71FCB" w:rsidP="00547618">
            <w:pPr>
              <w:pStyle w:val="TableParagraph"/>
              <w:spacing w:before="41" w:line="276" w:lineRule="auto"/>
              <w:ind w:right="101"/>
              <w:rPr>
                <w:rFonts w:cstheme="minorHAnsi"/>
                <w:sz w:val="24"/>
                <w:szCs w:val="24"/>
              </w:rPr>
            </w:pPr>
          </w:p>
          <w:p w14:paraId="797CC727"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Member States shall communicate the national assurance standards, </w:t>
            </w:r>
            <w:proofErr w:type="gramStart"/>
            <w:r w:rsidRPr="00436869">
              <w:rPr>
                <w:rFonts w:cstheme="minorHAnsi"/>
                <w:sz w:val="24"/>
                <w:szCs w:val="24"/>
              </w:rPr>
              <w:t>procedures</w:t>
            </w:r>
            <w:proofErr w:type="gramEnd"/>
            <w:r w:rsidRPr="00436869">
              <w:rPr>
                <w:rFonts w:cstheme="minorHAnsi"/>
                <w:sz w:val="24"/>
                <w:szCs w:val="24"/>
              </w:rPr>
              <w:t xml:space="preserve"> or requirements to the Commission at least three months before their entry into force.</w:t>
            </w:r>
          </w:p>
        </w:tc>
        <w:tc>
          <w:tcPr>
            <w:tcW w:w="3544" w:type="dxa"/>
          </w:tcPr>
          <w:p w14:paraId="386BE0F7" w14:textId="77777777" w:rsidR="00E71FCB" w:rsidRPr="00436869" w:rsidRDefault="00E71FCB" w:rsidP="00803A67">
            <w:pPr>
              <w:pStyle w:val="TableParagraph"/>
              <w:spacing w:before="41" w:line="276" w:lineRule="auto"/>
              <w:rPr>
                <w:rFonts w:eastAsia="Times New Roman" w:cstheme="minorHAnsi"/>
                <w:sz w:val="24"/>
                <w:szCs w:val="24"/>
              </w:rPr>
            </w:pPr>
            <w:r w:rsidRPr="00436869">
              <w:rPr>
                <w:rFonts w:eastAsia="Times New Roman" w:cstheme="minorHAnsi"/>
                <w:sz w:val="24"/>
                <w:szCs w:val="24"/>
              </w:rPr>
              <w:lastRenderedPageBreak/>
              <w:t xml:space="preserve">Article 26a is a new article inserted into the Audit Directive which sets out the requirement for the audit of sustainability reporting to be done in accordance with assurance </w:t>
            </w:r>
            <w:r w:rsidRPr="00436869">
              <w:rPr>
                <w:rFonts w:eastAsia="Times New Roman" w:cstheme="minorHAnsi"/>
                <w:sz w:val="24"/>
                <w:szCs w:val="24"/>
              </w:rPr>
              <w:lastRenderedPageBreak/>
              <w:t>standards which will be developed by the EU Commission</w:t>
            </w:r>
            <w:r>
              <w:rPr>
                <w:rFonts w:eastAsia="Times New Roman" w:cstheme="minorHAnsi"/>
                <w:sz w:val="24"/>
                <w:szCs w:val="24"/>
              </w:rPr>
              <w:t xml:space="preserve">. </w:t>
            </w:r>
            <w:r w:rsidRPr="00436869">
              <w:rPr>
                <w:rFonts w:eastAsia="Times New Roman" w:cstheme="minorHAnsi"/>
                <w:sz w:val="24"/>
                <w:szCs w:val="24"/>
              </w:rPr>
              <w:t xml:space="preserve">This option permits Member States to apply national standards </w:t>
            </w:r>
            <w:proofErr w:type="gramStart"/>
            <w:r w:rsidRPr="00436869">
              <w:rPr>
                <w:rFonts w:eastAsia="Times New Roman" w:cstheme="minorHAnsi"/>
                <w:sz w:val="24"/>
                <w:szCs w:val="24"/>
              </w:rPr>
              <w:t>in the event that</w:t>
            </w:r>
            <w:proofErr w:type="gramEnd"/>
            <w:r w:rsidRPr="00436869">
              <w:rPr>
                <w:rFonts w:eastAsia="Times New Roman" w:cstheme="minorHAnsi"/>
                <w:sz w:val="24"/>
                <w:szCs w:val="24"/>
              </w:rPr>
              <w:t xml:space="preserve"> the Commission has not adopted a standard on the same subject matter.</w:t>
            </w:r>
          </w:p>
        </w:tc>
        <w:tc>
          <w:tcPr>
            <w:tcW w:w="5675" w:type="dxa"/>
          </w:tcPr>
          <w:p w14:paraId="1DA2321C" w14:textId="77777777" w:rsidR="00E71FCB" w:rsidRPr="00436869" w:rsidRDefault="00E71FCB" w:rsidP="00547618">
            <w:pPr>
              <w:pStyle w:val="TableParagraph"/>
              <w:spacing w:before="41" w:line="276" w:lineRule="auto"/>
              <w:ind w:left="33"/>
              <w:rPr>
                <w:rFonts w:eastAsia="Times New Roman" w:cstheme="minorHAnsi"/>
                <w:sz w:val="24"/>
                <w:szCs w:val="24"/>
              </w:rPr>
            </w:pPr>
          </w:p>
        </w:tc>
      </w:tr>
      <w:tr w:rsidR="00803A67" w:rsidRPr="00436869" w14:paraId="2A68D13F" w14:textId="77777777" w:rsidTr="00803A67">
        <w:trPr>
          <w:jc w:val="center"/>
        </w:trPr>
        <w:tc>
          <w:tcPr>
            <w:tcW w:w="12616" w:type="dxa"/>
            <w:gridSpan w:val="3"/>
            <w:shd w:val="clear" w:color="auto" w:fill="F2EDCE" w:themeFill="accent6" w:themeFillTint="33"/>
          </w:tcPr>
          <w:p w14:paraId="1036731B" w14:textId="77777777" w:rsidR="00803A67" w:rsidRPr="00436869" w:rsidRDefault="00803A67" w:rsidP="00803A67">
            <w:pPr>
              <w:pStyle w:val="TableParagraph"/>
              <w:spacing w:before="41" w:line="276" w:lineRule="auto"/>
              <w:ind w:right="101"/>
              <w:rPr>
                <w:rFonts w:cstheme="minorHAnsi"/>
                <w:b/>
                <w:bCs/>
                <w:sz w:val="24"/>
                <w:szCs w:val="24"/>
              </w:rPr>
            </w:pPr>
            <w:r w:rsidRPr="00436869">
              <w:rPr>
                <w:rFonts w:cstheme="minorHAnsi"/>
                <w:b/>
                <w:bCs/>
                <w:sz w:val="24"/>
                <w:szCs w:val="24"/>
              </w:rPr>
              <w:t>Article 28a Assurance Report on sustainability reporting (New)</w:t>
            </w:r>
          </w:p>
          <w:p w14:paraId="3C4E7EF2" w14:textId="27D528B1" w:rsidR="00803A67" w:rsidRPr="00803A67" w:rsidRDefault="00803A67" w:rsidP="00803A67">
            <w:pPr>
              <w:pStyle w:val="TableParagraph"/>
              <w:spacing w:before="41" w:line="276" w:lineRule="auto"/>
              <w:ind w:right="101"/>
              <w:rPr>
                <w:rFonts w:cstheme="minorHAnsi"/>
                <w:i/>
                <w:iCs/>
                <w:sz w:val="24"/>
                <w:szCs w:val="24"/>
              </w:rPr>
            </w:pPr>
            <w:r w:rsidRPr="00436869">
              <w:rPr>
                <w:rFonts w:cstheme="minorHAnsi"/>
                <w:i/>
                <w:iCs/>
                <w:sz w:val="24"/>
                <w:szCs w:val="24"/>
              </w:rPr>
              <w:t>Point 5 (New)</w:t>
            </w:r>
          </w:p>
        </w:tc>
      </w:tr>
      <w:tr w:rsidR="00E71FCB" w:rsidRPr="00436869" w14:paraId="7DD04F98" w14:textId="77777777" w:rsidTr="00A1132D">
        <w:trPr>
          <w:jc w:val="center"/>
        </w:trPr>
        <w:tc>
          <w:tcPr>
            <w:tcW w:w="3397" w:type="dxa"/>
          </w:tcPr>
          <w:p w14:paraId="4DAD9970"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5.   Member States </w:t>
            </w:r>
            <w:r w:rsidRPr="00436869">
              <w:rPr>
                <w:rFonts w:cstheme="minorHAnsi"/>
                <w:sz w:val="24"/>
                <w:szCs w:val="24"/>
                <w:u w:val="single"/>
              </w:rPr>
              <w:t>may</w:t>
            </w:r>
            <w:r w:rsidRPr="00436869">
              <w:rPr>
                <w:rFonts w:cstheme="minorHAnsi"/>
                <w:sz w:val="24"/>
                <w:szCs w:val="24"/>
              </w:rPr>
              <w:t xml:space="preserve"> require that, where the same statutory auditor carries out the statutory audit of annual financial statements and the assurance of sustainability reporting, the assurance report on sustainability reporting may </w:t>
            </w:r>
            <w:r w:rsidRPr="00436869">
              <w:rPr>
                <w:rFonts w:cstheme="minorHAnsi"/>
                <w:sz w:val="24"/>
                <w:szCs w:val="24"/>
              </w:rPr>
              <w:lastRenderedPageBreak/>
              <w:t>be included as a separate section of the audit report.</w:t>
            </w:r>
          </w:p>
        </w:tc>
        <w:tc>
          <w:tcPr>
            <w:tcW w:w="3544" w:type="dxa"/>
          </w:tcPr>
          <w:p w14:paraId="7B43562C" w14:textId="77777777" w:rsidR="00E71FCB" w:rsidRPr="00436869" w:rsidRDefault="00E71FCB" w:rsidP="00803A67">
            <w:pPr>
              <w:pStyle w:val="TableParagraph"/>
              <w:spacing w:before="41" w:line="276" w:lineRule="auto"/>
              <w:rPr>
                <w:rFonts w:eastAsia="Times New Roman" w:cstheme="minorHAnsi"/>
                <w:sz w:val="24"/>
                <w:szCs w:val="24"/>
              </w:rPr>
            </w:pPr>
            <w:r w:rsidRPr="00436869">
              <w:rPr>
                <w:rFonts w:eastAsia="Times New Roman" w:cstheme="minorHAnsi"/>
                <w:sz w:val="24"/>
                <w:szCs w:val="24"/>
              </w:rPr>
              <w:lastRenderedPageBreak/>
              <w:t xml:space="preserve">Article 28a is a new article inserted into the Audit Directive which sets out the requirements for the assurance report by statutory auditors/audit firms of sustainability reporting to be done in accordance with assurance standards which will be </w:t>
            </w:r>
            <w:r w:rsidRPr="00436869">
              <w:rPr>
                <w:rFonts w:eastAsia="Times New Roman" w:cstheme="minorHAnsi"/>
                <w:sz w:val="24"/>
                <w:szCs w:val="24"/>
              </w:rPr>
              <w:lastRenderedPageBreak/>
              <w:t xml:space="preserve">developed by the EU Commission (or any national standard if relevant). </w:t>
            </w:r>
          </w:p>
          <w:p w14:paraId="614DE03A" w14:textId="77777777" w:rsidR="00E71FCB" w:rsidRPr="00436869" w:rsidRDefault="00E71FCB" w:rsidP="00547618">
            <w:pPr>
              <w:pStyle w:val="TableParagraph"/>
              <w:spacing w:before="41" w:line="276" w:lineRule="auto"/>
              <w:ind w:left="33"/>
              <w:rPr>
                <w:rFonts w:eastAsia="Times New Roman" w:cstheme="minorHAnsi"/>
                <w:sz w:val="24"/>
                <w:szCs w:val="24"/>
              </w:rPr>
            </w:pPr>
          </w:p>
          <w:p w14:paraId="039FEFDC" w14:textId="77777777" w:rsidR="00E71FCB" w:rsidRPr="00436869" w:rsidRDefault="00E71FCB" w:rsidP="00547618">
            <w:pPr>
              <w:pStyle w:val="TableParagraph"/>
              <w:spacing w:before="41" w:line="276" w:lineRule="auto"/>
              <w:ind w:left="33"/>
              <w:rPr>
                <w:rFonts w:eastAsia="Times New Roman" w:cstheme="minorHAnsi"/>
                <w:sz w:val="24"/>
                <w:szCs w:val="24"/>
              </w:rPr>
            </w:pPr>
            <w:r w:rsidRPr="00436869">
              <w:rPr>
                <w:rFonts w:eastAsia="Times New Roman" w:cstheme="minorHAnsi"/>
                <w:sz w:val="24"/>
                <w:szCs w:val="24"/>
              </w:rPr>
              <w:t>This option permits Member States to provide that where the same statutory auditor/audit firm carries out the statutory audit of the financial statements and the assurance of sustainability reporting, the assurance report may be included as a separate section of the audit report.</w:t>
            </w:r>
          </w:p>
        </w:tc>
        <w:tc>
          <w:tcPr>
            <w:tcW w:w="5675" w:type="dxa"/>
          </w:tcPr>
          <w:p w14:paraId="29C175C8" w14:textId="77777777" w:rsidR="00E71FCB" w:rsidRPr="00436869" w:rsidRDefault="00E71FCB" w:rsidP="00547618">
            <w:pPr>
              <w:pStyle w:val="TableParagraph"/>
              <w:spacing w:before="41" w:line="276" w:lineRule="auto"/>
              <w:ind w:left="33"/>
              <w:rPr>
                <w:rFonts w:eastAsia="Times New Roman" w:cstheme="minorHAnsi"/>
                <w:sz w:val="24"/>
                <w:szCs w:val="24"/>
              </w:rPr>
            </w:pPr>
          </w:p>
        </w:tc>
      </w:tr>
      <w:tr w:rsidR="00B24E6A" w:rsidRPr="00436869" w14:paraId="639B5A6F" w14:textId="77777777" w:rsidTr="00B24E6A">
        <w:trPr>
          <w:jc w:val="center"/>
        </w:trPr>
        <w:tc>
          <w:tcPr>
            <w:tcW w:w="12616" w:type="dxa"/>
            <w:gridSpan w:val="3"/>
            <w:shd w:val="clear" w:color="auto" w:fill="F2EDCE" w:themeFill="accent6" w:themeFillTint="33"/>
          </w:tcPr>
          <w:p w14:paraId="3564E156" w14:textId="77777777" w:rsidR="00B24E6A" w:rsidRPr="00436869" w:rsidRDefault="00B24E6A" w:rsidP="00B24E6A">
            <w:pPr>
              <w:pStyle w:val="TableParagraph"/>
              <w:spacing w:before="41" w:line="276" w:lineRule="auto"/>
              <w:ind w:right="101"/>
              <w:rPr>
                <w:rFonts w:cstheme="minorHAnsi"/>
                <w:b/>
                <w:bCs/>
                <w:sz w:val="24"/>
                <w:szCs w:val="24"/>
              </w:rPr>
            </w:pPr>
            <w:r w:rsidRPr="00436869">
              <w:rPr>
                <w:rFonts w:cstheme="minorHAnsi"/>
                <w:b/>
                <w:bCs/>
                <w:sz w:val="24"/>
                <w:szCs w:val="24"/>
              </w:rPr>
              <w:t>Article 29 Quality Assurance Systems (Amendment)</w:t>
            </w:r>
          </w:p>
          <w:p w14:paraId="7A257402" w14:textId="77777777" w:rsidR="00B24E6A" w:rsidRPr="00436869" w:rsidRDefault="00B24E6A" w:rsidP="00B24E6A">
            <w:pPr>
              <w:pStyle w:val="TableParagraph"/>
              <w:spacing w:before="41" w:line="276" w:lineRule="auto"/>
              <w:ind w:right="101"/>
              <w:rPr>
                <w:rFonts w:cstheme="minorHAnsi"/>
                <w:sz w:val="24"/>
                <w:szCs w:val="24"/>
              </w:rPr>
            </w:pPr>
          </w:p>
          <w:p w14:paraId="03295480" w14:textId="02C6674C" w:rsidR="00B24E6A" w:rsidRPr="00B24E6A" w:rsidRDefault="00B24E6A" w:rsidP="00B24E6A">
            <w:pPr>
              <w:pStyle w:val="TableParagraph"/>
              <w:spacing w:before="41" w:line="276" w:lineRule="auto"/>
              <w:ind w:right="101"/>
              <w:rPr>
                <w:rFonts w:cstheme="minorHAnsi"/>
                <w:i/>
                <w:iCs/>
                <w:sz w:val="24"/>
                <w:szCs w:val="24"/>
              </w:rPr>
            </w:pPr>
            <w:r w:rsidRPr="00436869">
              <w:rPr>
                <w:rFonts w:cstheme="minorHAnsi"/>
                <w:i/>
                <w:iCs/>
                <w:sz w:val="24"/>
                <w:szCs w:val="24"/>
              </w:rPr>
              <w:t>Point 2a (New)</w:t>
            </w:r>
          </w:p>
        </w:tc>
      </w:tr>
      <w:tr w:rsidR="00E71FCB" w:rsidRPr="00436869" w14:paraId="2AE2D17F" w14:textId="77777777" w:rsidTr="00A1132D">
        <w:trPr>
          <w:jc w:val="center"/>
        </w:trPr>
        <w:tc>
          <w:tcPr>
            <w:tcW w:w="3397" w:type="dxa"/>
          </w:tcPr>
          <w:p w14:paraId="4441A6FA"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2a.   Member States </w:t>
            </w:r>
            <w:r w:rsidRPr="00436869">
              <w:rPr>
                <w:rFonts w:cstheme="minorHAnsi"/>
                <w:sz w:val="24"/>
                <w:szCs w:val="24"/>
                <w:u w:val="single"/>
              </w:rPr>
              <w:t>may</w:t>
            </w:r>
            <w:r w:rsidRPr="00436869">
              <w:rPr>
                <w:rFonts w:cstheme="minorHAnsi"/>
                <w:sz w:val="24"/>
                <w:szCs w:val="24"/>
              </w:rPr>
              <w:t xml:space="preserve"> exempt, until 31 December 2025, persons who carry out </w:t>
            </w:r>
            <w:r w:rsidRPr="00436869">
              <w:rPr>
                <w:rFonts w:cstheme="minorHAnsi"/>
                <w:sz w:val="24"/>
                <w:szCs w:val="24"/>
              </w:rPr>
              <w:lastRenderedPageBreak/>
              <w:t>quality assurance reviews relating to the assurance of sustainability reporting from the requirement to have relevant experience in sustainability reporting and in the assurance of sustainability reporting or in other sustainability-related services.’;</w:t>
            </w:r>
          </w:p>
        </w:tc>
        <w:tc>
          <w:tcPr>
            <w:tcW w:w="3544" w:type="dxa"/>
          </w:tcPr>
          <w:p w14:paraId="25AF8EDA" w14:textId="77777777" w:rsidR="00E71FCB" w:rsidRPr="00436869" w:rsidRDefault="00E71FCB" w:rsidP="00547618">
            <w:pPr>
              <w:pStyle w:val="TableParagraph"/>
              <w:spacing w:before="41" w:line="276" w:lineRule="auto"/>
              <w:ind w:left="33"/>
              <w:rPr>
                <w:rFonts w:eastAsia="Times New Roman" w:cstheme="minorHAnsi"/>
                <w:sz w:val="24"/>
                <w:szCs w:val="24"/>
              </w:rPr>
            </w:pPr>
          </w:p>
          <w:p w14:paraId="5B08065A" w14:textId="77777777" w:rsidR="00E71FCB" w:rsidRPr="00436869" w:rsidRDefault="00E71FCB" w:rsidP="00547618">
            <w:pPr>
              <w:pStyle w:val="TableParagraph"/>
              <w:spacing w:before="41" w:line="276" w:lineRule="auto"/>
              <w:ind w:left="33"/>
              <w:rPr>
                <w:rFonts w:eastAsia="Times New Roman" w:cstheme="minorHAnsi"/>
                <w:sz w:val="24"/>
                <w:szCs w:val="24"/>
              </w:rPr>
            </w:pPr>
          </w:p>
          <w:p w14:paraId="5DE89DA2" w14:textId="77777777" w:rsidR="00E71FCB" w:rsidRPr="00436869" w:rsidRDefault="00E71FCB" w:rsidP="00547618">
            <w:pPr>
              <w:pStyle w:val="TableParagraph"/>
              <w:spacing w:before="41" w:line="276" w:lineRule="auto"/>
              <w:ind w:left="33"/>
              <w:rPr>
                <w:rFonts w:eastAsia="Times New Roman" w:cstheme="minorHAnsi"/>
                <w:sz w:val="24"/>
                <w:szCs w:val="24"/>
              </w:rPr>
            </w:pPr>
          </w:p>
          <w:p w14:paraId="3FF4421E" w14:textId="77777777" w:rsidR="00E71FCB" w:rsidRPr="00436869" w:rsidRDefault="00E71FCB" w:rsidP="00547618">
            <w:pPr>
              <w:pStyle w:val="TableParagraph"/>
              <w:spacing w:before="41" w:line="276" w:lineRule="auto"/>
              <w:ind w:left="33"/>
              <w:rPr>
                <w:rFonts w:eastAsia="Times New Roman" w:cstheme="minorHAnsi"/>
                <w:sz w:val="24"/>
                <w:szCs w:val="24"/>
              </w:rPr>
            </w:pPr>
            <w:r w:rsidRPr="00436869">
              <w:rPr>
                <w:rFonts w:eastAsia="Times New Roman" w:cstheme="minorHAnsi"/>
                <w:sz w:val="24"/>
                <w:szCs w:val="24"/>
              </w:rPr>
              <w:lastRenderedPageBreak/>
              <w:t>The amendments to Article 29, which governs quality assurance systems for statutory audit, allow where applicable for quality assurance of sustainability reporting.</w:t>
            </w:r>
          </w:p>
          <w:p w14:paraId="189952D1" w14:textId="77777777" w:rsidR="00E71FCB" w:rsidRPr="00436869" w:rsidRDefault="00E71FCB" w:rsidP="00547618">
            <w:pPr>
              <w:pStyle w:val="TableParagraph"/>
              <w:spacing w:before="41" w:line="276" w:lineRule="auto"/>
              <w:ind w:left="33"/>
              <w:rPr>
                <w:rFonts w:eastAsia="Times New Roman" w:cstheme="minorHAnsi"/>
                <w:sz w:val="24"/>
                <w:szCs w:val="24"/>
              </w:rPr>
            </w:pPr>
          </w:p>
          <w:p w14:paraId="7327C6F9" w14:textId="77777777" w:rsidR="00E71FCB" w:rsidRDefault="00E71FCB" w:rsidP="00547618">
            <w:pPr>
              <w:pStyle w:val="TableParagraph"/>
              <w:spacing w:before="41" w:line="276" w:lineRule="auto"/>
              <w:ind w:left="33"/>
              <w:rPr>
                <w:rFonts w:eastAsia="Times New Roman" w:cstheme="minorHAnsi"/>
                <w:sz w:val="24"/>
                <w:szCs w:val="24"/>
              </w:rPr>
            </w:pPr>
            <w:r w:rsidRPr="00436869">
              <w:rPr>
                <w:rFonts w:eastAsia="Times New Roman" w:cstheme="minorHAnsi"/>
                <w:sz w:val="24"/>
                <w:szCs w:val="24"/>
              </w:rPr>
              <w:t xml:space="preserve">This option permits Member States to allow for a transition period for persons carrying out quality assurance reviews on sustainability reporting by exempting them until the end of 2025 from the requirement to have relevant experience in sustainability reporting or the assurance of same. </w:t>
            </w:r>
          </w:p>
          <w:p w14:paraId="72968F17" w14:textId="77777777" w:rsidR="00A60D63" w:rsidRDefault="00A60D63" w:rsidP="00547618">
            <w:pPr>
              <w:pStyle w:val="TableParagraph"/>
              <w:spacing w:before="41" w:line="276" w:lineRule="auto"/>
              <w:ind w:left="33"/>
              <w:rPr>
                <w:rFonts w:eastAsia="Times New Roman" w:cstheme="minorHAnsi"/>
                <w:sz w:val="24"/>
                <w:szCs w:val="24"/>
              </w:rPr>
            </w:pPr>
          </w:p>
          <w:p w14:paraId="4D0ACE34" w14:textId="580929D4" w:rsidR="00A60D63" w:rsidRPr="00436869" w:rsidRDefault="00A60D63" w:rsidP="00547618">
            <w:pPr>
              <w:pStyle w:val="TableParagraph"/>
              <w:spacing w:before="41" w:line="276" w:lineRule="auto"/>
              <w:ind w:left="33"/>
              <w:rPr>
                <w:rFonts w:eastAsia="Times New Roman" w:cstheme="minorHAnsi"/>
                <w:sz w:val="24"/>
                <w:szCs w:val="24"/>
              </w:rPr>
            </w:pPr>
          </w:p>
        </w:tc>
        <w:tc>
          <w:tcPr>
            <w:tcW w:w="5675" w:type="dxa"/>
          </w:tcPr>
          <w:p w14:paraId="32957629" w14:textId="77777777" w:rsidR="00E71FCB" w:rsidRPr="00436869" w:rsidRDefault="00E71FCB" w:rsidP="00547618">
            <w:pPr>
              <w:pStyle w:val="TableParagraph"/>
              <w:spacing w:before="41" w:line="276" w:lineRule="auto"/>
              <w:ind w:left="33"/>
              <w:rPr>
                <w:rFonts w:eastAsia="Times New Roman" w:cstheme="minorHAnsi"/>
                <w:sz w:val="24"/>
                <w:szCs w:val="24"/>
              </w:rPr>
            </w:pPr>
          </w:p>
        </w:tc>
      </w:tr>
      <w:tr w:rsidR="00B24E6A" w:rsidRPr="00436869" w14:paraId="73F4A9A0" w14:textId="77777777" w:rsidTr="00B24E6A">
        <w:trPr>
          <w:jc w:val="center"/>
        </w:trPr>
        <w:tc>
          <w:tcPr>
            <w:tcW w:w="12616" w:type="dxa"/>
            <w:gridSpan w:val="3"/>
            <w:shd w:val="clear" w:color="auto" w:fill="F2EDCE" w:themeFill="accent6" w:themeFillTint="33"/>
          </w:tcPr>
          <w:p w14:paraId="1795B963" w14:textId="77777777" w:rsidR="00B24E6A" w:rsidRPr="00436869" w:rsidRDefault="00B24E6A" w:rsidP="00B24E6A">
            <w:pPr>
              <w:pStyle w:val="TableParagraph"/>
              <w:spacing w:before="41" w:line="276" w:lineRule="auto"/>
              <w:ind w:right="101"/>
              <w:rPr>
                <w:rFonts w:cstheme="minorHAnsi"/>
                <w:b/>
                <w:bCs/>
                <w:sz w:val="24"/>
                <w:szCs w:val="24"/>
              </w:rPr>
            </w:pPr>
            <w:r w:rsidRPr="00436869">
              <w:rPr>
                <w:rFonts w:cstheme="minorHAnsi"/>
                <w:b/>
                <w:bCs/>
                <w:sz w:val="24"/>
                <w:szCs w:val="24"/>
              </w:rPr>
              <w:lastRenderedPageBreak/>
              <w:t>Article 30 Systems of Investigations and Sanctions (Amended)</w:t>
            </w:r>
          </w:p>
          <w:p w14:paraId="151F7C6A" w14:textId="37B62696" w:rsidR="00B24E6A" w:rsidRPr="00436869" w:rsidRDefault="00B24E6A" w:rsidP="00A60D63">
            <w:pPr>
              <w:pStyle w:val="TableParagraph"/>
              <w:spacing w:before="41" w:line="276" w:lineRule="auto"/>
              <w:ind w:right="101"/>
              <w:rPr>
                <w:rFonts w:eastAsia="Times New Roman" w:cstheme="minorHAnsi"/>
                <w:sz w:val="24"/>
                <w:szCs w:val="24"/>
              </w:rPr>
            </w:pPr>
            <w:r w:rsidRPr="00436869">
              <w:rPr>
                <w:rFonts w:cstheme="minorHAnsi"/>
                <w:i/>
                <w:iCs/>
                <w:sz w:val="24"/>
                <w:szCs w:val="24"/>
              </w:rPr>
              <w:t>Point 2 second subparagraph (existing)</w:t>
            </w:r>
          </w:p>
        </w:tc>
      </w:tr>
      <w:tr w:rsidR="00E71FCB" w:rsidRPr="00436869" w14:paraId="46C02106" w14:textId="77777777" w:rsidTr="00A1132D">
        <w:trPr>
          <w:jc w:val="center"/>
        </w:trPr>
        <w:tc>
          <w:tcPr>
            <w:tcW w:w="3397" w:type="dxa"/>
          </w:tcPr>
          <w:p w14:paraId="394B6CDC"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Member States </w:t>
            </w:r>
            <w:r w:rsidRPr="00436869">
              <w:rPr>
                <w:rFonts w:cstheme="minorHAnsi"/>
                <w:sz w:val="24"/>
                <w:szCs w:val="24"/>
                <w:u w:val="single"/>
              </w:rPr>
              <w:t>may</w:t>
            </w:r>
            <w:r w:rsidRPr="00436869">
              <w:rPr>
                <w:rFonts w:cstheme="minorHAnsi"/>
                <w:sz w:val="24"/>
                <w:szCs w:val="24"/>
              </w:rPr>
              <w:t xml:space="preserve"> decide not to lay down rules for administrative sanctions for infringements which are already subject to national criminal law. In that event, they shall communicate to the Commission the relevant criminal law provisions.’;</w:t>
            </w:r>
          </w:p>
        </w:tc>
        <w:tc>
          <w:tcPr>
            <w:tcW w:w="3544" w:type="dxa"/>
          </w:tcPr>
          <w:p w14:paraId="0ED6BF71" w14:textId="77777777" w:rsidR="00E71FCB" w:rsidRPr="00436869" w:rsidRDefault="00E71FCB" w:rsidP="00B24E6A">
            <w:pPr>
              <w:pStyle w:val="TableParagraph"/>
              <w:spacing w:before="41" w:line="276" w:lineRule="auto"/>
              <w:rPr>
                <w:rFonts w:eastAsia="Times New Roman" w:cstheme="minorHAnsi"/>
                <w:sz w:val="24"/>
                <w:szCs w:val="24"/>
              </w:rPr>
            </w:pPr>
            <w:r w:rsidRPr="00436869">
              <w:rPr>
                <w:rFonts w:eastAsia="Times New Roman" w:cstheme="minorHAnsi"/>
                <w:sz w:val="24"/>
                <w:szCs w:val="24"/>
              </w:rPr>
              <w:t>The amendments to Article 30, which governs systems of investigations and sanctions for breaches of statutory audit rules, allow for the extension of investigation and sanctions systems to assurance of sustainability reporting.</w:t>
            </w:r>
          </w:p>
          <w:p w14:paraId="5F7AFA5C" w14:textId="77777777" w:rsidR="00E71FCB" w:rsidRPr="00436869" w:rsidRDefault="00E71FCB" w:rsidP="00547618">
            <w:pPr>
              <w:pStyle w:val="TableParagraph"/>
              <w:spacing w:before="41" w:line="276" w:lineRule="auto"/>
              <w:ind w:left="33"/>
              <w:rPr>
                <w:rFonts w:eastAsia="Times New Roman" w:cstheme="minorHAnsi"/>
                <w:sz w:val="24"/>
                <w:szCs w:val="24"/>
              </w:rPr>
            </w:pPr>
          </w:p>
          <w:p w14:paraId="0BE390FD" w14:textId="77777777" w:rsidR="00E71FCB" w:rsidRPr="00436869" w:rsidRDefault="00E71FCB" w:rsidP="00547618">
            <w:pPr>
              <w:pStyle w:val="TableParagraph"/>
              <w:spacing w:before="41" w:line="276" w:lineRule="auto"/>
              <w:ind w:left="33"/>
              <w:rPr>
                <w:rFonts w:eastAsia="Times New Roman" w:cstheme="minorHAnsi"/>
                <w:sz w:val="24"/>
                <w:szCs w:val="24"/>
              </w:rPr>
            </w:pPr>
            <w:r w:rsidRPr="00436869">
              <w:rPr>
                <w:rFonts w:eastAsia="Times New Roman" w:cstheme="minorHAnsi"/>
                <w:sz w:val="24"/>
                <w:szCs w:val="24"/>
              </w:rPr>
              <w:t>This option is not amended directly and allows Member States not to provide for an administrative sanction regime where criminal law already applies. It was not exercised in the transposition of Directive 2014/56/EU.</w:t>
            </w:r>
          </w:p>
        </w:tc>
        <w:tc>
          <w:tcPr>
            <w:tcW w:w="5675" w:type="dxa"/>
          </w:tcPr>
          <w:p w14:paraId="343DED2A" w14:textId="77777777" w:rsidR="00E71FCB" w:rsidRPr="00436869" w:rsidRDefault="00E71FCB" w:rsidP="00547618">
            <w:pPr>
              <w:pStyle w:val="TableParagraph"/>
              <w:spacing w:before="41" w:line="276" w:lineRule="auto"/>
              <w:ind w:left="33"/>
              <w:rPr>
                <w:rFonts w:eastAsia="Times New Roman" w:cstheme="minorHAnsi"/>
                <w:sz w:val="24"/>
                <w:szCs w:val="24"/>
              </w:rPr>
            </w:pPr>
          </w:p>
        </w:tc>
      </w:tr>
      <w:tr w:rsidR="00B24E6A" w:rsidRPr="00436869" w14:paraId="5B09D8A8" w14:textId="77777777" w:rsidTr="00B24E6A">
        <w:trPr>
          <w:jc w:val="center"/>
        </w:trPr>
        <w:tc>
          <w:tcPr>
            <w:tcW w:w="12616" w:type="dxa"/>
            <w:gridSpan w:val="3"/>
            <w:shd w:val="clear" w:color="auto" w:fill="F2EDCE" w:themeFill="accent6" w:themeFillTint="33"/>
          </w:tcPr>
          <w:p w14:paraId="2ECD63E0" w14:textId="77777777" w:rsidR="00B24E6A" w:rsidRPr="00436869" w:rsidRDefault="00B24E6A" w:rsidP="00B24E6A">
            <w:pPr>
              <w:pStyle w:val="TableParagraph"/>
              <w:spacing w:before="41" w:line="276" w:lineRule="auto"/>
              <w:ind w:right="101"/>
              <w:rPr>
                <w:rFonts w:cstheme="minorHAnsi"/>
                <w:b/>
                <w:bCs/>
                <w:sz w:val="24"/>
                <w:szCs w:val="24"/>
                <w:lang w:val="en-IE"/>
              </w:rPr>
            </w:pPr>
            <w:r w:rsidRPr="00436869">
              <w:rPr>
                <w:rFonts w:cstheme="minorHAnsi"/>
                <w:b/>
                <w:bCs/>
                <w:sz w:val="24"/>
                <w:szCs w:val="24"/>
                <w:lang w:val="en-IE"/>
              </w:rPr>
              <w:lastRenderedPageBreak/>
              <w:t>Article 39 Audit Committee (Amended)</w:t>
            </w:r>
          </w:p>
          <w:p w14:paraId="187D6404" w14:textId="77777777" w:rsidR="00B24E6A" w:rsidRPr="00436869" w:rsidRDefault="00B24E6A" w:rsidP="00B24E6A">
            <w:pPr>
              <w:pStyle w:val="TableParagraph"/>
              <w:spacing w:before="41" w:line="276" w:lineRule="auto"/>
              <w:ind w:right="101"/>
              <w:rPr>
                <w:rFonts w:cstheme="minorHAnsi"/>
                <w:i/>
                <w:iCs/>
                <w:sz w:val="24"/>
                <w:szCs w:val="24"/>
                <w:lang w:val="en-IE"/>
              </w:rPr>
            </w:pPr>
            <w:r w:rsidRPr="00436869">
              <w:rPr>
                <w:rFonts w:cstheme="minorHAnsi"/>
                <w:i/>
                <w:iCs/>
                <w:sz w:val="24"/>
                <w:szCs w:val="24"/>
                <w:lang w:val="en-IE"/>
              </w:rPr>
              <w:t>Paragraph 4a (New)</w:t>
            </w:r>
          </w:p>
          <w:p w14:paraId="095D4AC3" w14:textId="77777777" w:rsidR="00B24E6A" w:rsidRPr="00436869" w:rsidRDefault="00B24E6A" w:rsidP="00547618">
            <w:pPr>
              <w:pStyle w:val="TableParagraph"/>
              <w:spacing w:before="41" w:line="276" w:lineRule="auto"/>
              <w:ind w:left="33"/>
              <w:rPr>
                <w:rFonts w:eastAsia="Times New Roman" w:cstheme="minorHAnsi"/>
                <w:sz w:val="24"/>
                <w:szCs w:val="24"/>
              </w:rPr>
            </w:pPr>
          </w:p>
        </w:tc>
      </w:tr>
      <w:tr w:rsidR="00E71FCB" w:rsidRPr="00436869" w14:paraId="523BA097" w14:textId="77777777" w:rsidTr="00A1132D">
        <w:trPr>
          <w:jc w:val="center"/>
        </w:trPr>
        <w:tc>
          <w:tcPr>
            <w:tcW w:w="3397" w:type="dxa"/>
          </w:tcPr>
          <w:p w14:paraId="43636B6A" w14:textId="77777777" w:rsidR="00E71FCB" w:rsidRPr="00436869" w:rsidRDefault="00E71FCB" w:rsidP="00547618">
            <w:pPr>
              <w:pStyle w:val="TableParagraph"/>
              <w:spacing w:before="41" w:line="276" w:lineRule="auto"/>
              <w:ind w:right="101"/>
              <w:rPr>
                <w:rFonts w:cstheme="minorHAnsi"/>
                <w:sz w:val="24"/>
                <w:szCs w:val="24"/>
              </w:rPr>
            </w:pPr>
            <w:r w:rsidRPr="00436869">
              <w:rPr>
                <w:rFonts w:cstheme="minorHAnsi"/>
                <w:sz w:val="24"/>
                <w:szCs w:val="24"/>
              </w:rPr>
              <w:t xml:space="preserve">Member States </w:t>
            </w:r>
            <w:r w:rsidRPr="00436869">
              <w:rPr>
                <w:rFonts w:cstheme="minorHAnsi"/>
                <w:sz w:val="24"/>
                <w:szCs w:val="24"/>
                <w:u w:val="single"/>
              </w:rPr>
              <w:t>may</w:t>
            </w:r>
            <w:r w:rsidRPr="00436869">
              <w:rPr>
                <w:rFonts w:cstheme="minorHAnsi"/>
                <w:sz w:val="24"/>
                <w:szCs w:val="24"/>
              </w:rPr>
              <w:t xml:space="preserve"> allow the functions assigned to the audit committee relating to sustainability reporting and relating to the assurance of sustainability reporting to be performed by the administrative or supervisory body as a whole or by a dedicated body established by the administrative or supervisory body.</w:t>
            </w:r>
          </w:p>
        </w:tc>
        <w:tc>
          <w:tcPr>
            <w:tcW w:w="3544" w:type="dxa"/>
          </w:tcPr>
          <w:p w14:paraId="6A972CC1" w14:textId="77777777" w:rsidR="00E71FCB" w:rsidRPr="00436869" w:rsidRDefault="00E71FCB" w:rsidP="00B24E6A">
            <w:pPr>
              <w:pStyle w:val="TableParagraph"/>
              <w:spacing w:before="41" w:line="276" w:lineRule="auto"/>
              <w:rPr>
                <w:rFonts w:eastAsia="Times New Roman" w:cstheme="minorHAnsi"/>
                <w:sz w:val="24"/>
                <w:szCs w:val="24"/>
              </w:rPr>
            </w:pPr>
            <w:r w:rsidRPr="00436869">
              <w:rPr>
                <w:rFonts w:eastAsia="Times New Roman" w:cstheme="minorHAnsi"/>
                <w:sz w:val="24"/>
                <w:szCs w:val="24"/>
              </w:rPr>
              <w:t xml:space="preserve">The amendments to Article 39, which governs the rules for Audit Committees of public interest entities, allow for the extension of certain audit committee functions to include assurance of sustainability reporting. This option permits Member States to allow these functions to be assigned to the board of directors of the </w:t>
            </w:r>
            <w:proofErr w:type="gramStart"/>
            <w:r w:rsidRPr="00436869">
              <w:rPr>
                <w:rFonts w:eastAsia="Times New Roman" w:cstheme="minorHAnsi"/>
                <w:sz w:val="24"/>
                <w:szCs w:val="24"/>
              </w:rPr>
              <w:t>public-interest for</w:t>
            </w:r>
            <w:proofErr w:type="gramEnd"/>
            <w:r w:rsidRPr="00436869">
              <w:rPr>
                <w:rFonts w:eastAsia="Times New Roman" w:cstheme="minorHAnsi"/>
                <w:sz w:val="24"/>
                <w:szCs w:val="24"/>
              </w:rPr>
              <w:t xml:space="preserve"> example or another dedicated body established by the public interest entity. It is </w:t>
            </w:r>
            <w:proofErr w:type="gramStart"/>
            <w:r w:rsidRPr="00436869">
              <w:rPr>
                <w:rFonts w:eastAsia="Times New Roman" w:cstheme="minorHAnsi"/>
                <w:sz w:val="24"/>
                <w:szCs w:val="24"/>
              </w:rPr>
              <w:t>similar to</w:t>
            </w:r>
            <w:proofErr w:type="gramEnd"/>
            <w:r w:rsidRPr="00436869">
              <w:rPr>
                <w:rFonts w:eastAsia="Times New Roman" w:cstheme="minorHAnsi"/>
                <w:sz w:val="24"/>
                <w:szCs w:val="24"/>
              </w:rPr>
              <w:t xml:space="preserve"> an option at Article 39(4) which applies to statutory audit. This option was not exercised in the transposition </w:t>
            </w:r>
            <w:r w:rsidRPr="00436869">
              <w:rPr>
                <w:rFonts w:eastAsia="Times New Roman" w:cstheme="minorHAnsi"/>
                <w:sz w:val="24"/>
                <w:szCs w:val="24"/>
              </w:rPr>
              <w:lastRenderedPageBreak/>
              <w:t>of Directive 2014/56/EU.</w:t>
            </w:r>
          </w:p>
        </w:tc>
        <w:tc>
          <w:tcPr>
            <w:tcW w:w="5675" w:type="dxa"/>
          </w:tcPr>
          <w:p w14:paraId="449CE64B" w14:textId="77777777" w:rsidR="00E71FCB" w:rsidRPr="00436869" w:rsidRDefault="00E71FCB" w:rsidP="00547618">
            <w:pPr>
              <w:pStyle w:val="TableParagraph"/>
              <w:spacing w:before="41" w:line="276" w:lineRule="auto"/>
              <w:ind w:left="33"/>
              <w:rPr>
                <w:rFonts w:eastAsia="Times New Roman" w:cstheme="minorHAnsi"/>
                <w:sz w:val="24"/>
                <w:szCs w:val="24"/>
              </w:rPr>
            </w:pPr>
          </w:p>
        </w:tc>
      </w:tr>
    </w:tbl>
    <w:p w14:paraId="11DFC2D4" w14:textId="1F888BAE" w:rsidR="0009126E" w:rsidRPr="00B24E6A" w:rsidRDefault="0009126E" w:rsidP="00E71FCB">
      <w:pPr>
        <w:spacing w:before="8"/>
        <w:rPr>
          <w:rFonts w:asciiTheme="minorHAnsi" w:eastAsia="Times New Roman" w:hAnsiTheme="minorHAnsi" w:cstheme="minorHAnsi"/>
          <w:b/>
          <w:bCs/>
          <w:color w:val="004D44" w:themeColor="text2"/>
          <w:sz w:val="24"/>
          <w:szCs w:val="24"/>
        </w:rPr>
      </w:pPr>
      <w:r w:rsidRPr="00B24E6A">
        <w:rPr>
          <w:rFonts w:asciiTheme="minorHAnsi" w:eastAsia="Times New Roman" w:hAnsiTheme="minorHAnsi" w:cstheme="minorHAnsi"/>
          <w:b/>
          <w:bCs/>
          <w:color w:val="004D44" w:themeColor="text2"/>
          <w:sz w:val="24"/>
          <w:szCs w:val="24"/>
        </w:rPr>
        <w:t>Please provide any further views you have in relation to the transposition and development of future policy in this area.</w:t>
      </w:r>
    </w:p>
    <w:tbl>
      <w:tblPr>
        <w:tblStyle w:val="TableGrid"/>
        <w:tblW w:w="13595" w:type="dxa"/>
        <w:tblLook w:val="04A0" w:firstRow="1" w:lastRow="0" w:firstColumn="1" w:lastColumn="0" w:noHBand="0" w:noVBand="1"/>
      </w:tblPr>
      <w:tblGrid>
        <w:gridCol w:w="13595"/>
      </w:tblGrid>
      <w:tr w:rsidR="0009126E" w14:paraId="58EB973B" w14:textId="77777777" w:rsidTr="0009126E">
        <w:trPr>
          <w:trHeight w:val="4172"/>
        </w:trPr>
        <w:tc>
          <w:tcPr>
            <w:tcW w:w="13595" w:type="dxa"/>
          </w:tcPr>
          <w:p w14:paraId="0C209472" w14:textId="11D1430B" w:rsidR="0009126E" w:rsidRDefault="00FE2E2C" w:rsidP="00E71FCB">
            <w:pPr>
              <w:spacing w:before="8"/>
              <w:rPr>
                <w:rFonts w:asciiTheme="minorHAnsi" w:eastAsia="Times New Roman" w:hAnsiTheme="minorHAnsi" w:cstheme="minorHAnsi"/>
                <w:sz w:val="24"/>
                <w:szCs w:val="24"/>
              </w:rPr>
            </w:pPr>
            <w:proofErr w:type="spellStart"/>
            <w:r>
              <w:rPr>
                <w:rFonts w:asciiTheme="minorHAnsi" w:eastAsia="Times New Roman" w:hAnsiTheme="minorHAnsi" w:cstheme="minorHAnsi"/>
                <w:sz w:val="24"/>
                <w:szCs w:val="24"/>
              </w:rPr>
              <w:t>e.g</w:t>
            </w:r>
            <w:proofErr w:type="spellEnd"/>
            <w:r>
              <w:rPr>
                <w:rFonts w:asciiTheme="minorHAnsi" w:eastAsia="Times New Roman" w:hAnsiTheme="minorHAnsi" w:cstheme="minorHAnsi"/>
                <w:sz w:val="24"/>
                <w:szCs w:val="24"/>
              </w:rPr>
              <w:t xml:space="preserve"> Scope</w:t>
            </w:r>
            <w:r w:rsidR="000157E8">
              <w:rPr>
                <w:rFonts w:asciiTheme="minorHAnsi" w:eastAsia="Times New Roman" w:hAnsiTheme="minorHAnsi" w:cstheme="minorHAnsi"/>
                <w:sz w:val="24"/>
                <w:szCs w:val="24"/>
              </w:rPr>
              <w:t xml:space="preserve"> and Phasing</w:t>
            </w:r>
            <w:r>
              <w:rPr>
                <w:rFonts w:asciiTheme="minorHAnsi" w:eastAsia="Times New Roman" w:hAnsiTheme="minorHAnsi" w:cstheme="minorHAnsi"/>
                <w:sz w:val="24"/>
                <w:szCs w:val="24"/>
              </w:rPr>
              <w:t>, Assurance</w:t>
            </w:r>
            <w:r w:rsidR="000157E8">
              <w:rPr>
                <w:rFonts w:asciiTheme="minorHAnsi" w:eastAsia="Times New Roman" w:hAnsiTheme="minorHAnsi" w:cstheme="minorHAnsi"/>
                <w:sz w:val="24"/>
                <w:szCs w:val="24"/>
              </w:rPr>
              <w:t xml:space="preserve"> (Audit)</w:t>
            </w:r>
            <w:r>
              <w:rPr>
                <w:rFonts w:asciiTheme="minorHAnsi" w:eastAsia="Times New Roman" w:hAnsiTheme="minorHAnsi" w:cstheme="minorHAnsi"/>
                <w:sz w:val="24"/>
                <w:szCs w:val="24"/>
              </w:rPr>
              <w:t>, Oversight and Sanctions</w:t>
            </w:r>
            <w:r w:rsidR="000157E8">
              <w:rPr>
                <w:rFonts w:asciiTheme="minorHAnsi" w:eastAsia="Times New Roman" w:hAnsiTheme="minorHAnsi" w:cstheme="minorHAnsi"/>
                <w:sz w:val="24"/>
                <w:szCs w:val="24"/>
              </w:rPr>
              <w:t>.</w:t>
            </w:r>
          </w:p>
        </w:tc>
      </w:tr>
    </w:tbl>
    <w:p w14:paraId="0DD27402" w14:textId="77777777" w:rsidR="0009126E" w:rsidRPr="00436869" w:rsidRDefault="0009126E" w:rsidP="00E71FCB">
      <w:pPr>
        <w:spacing w:before="8"/>
        <w:rPr>
          <w:rFonts w:asciiTheme="minorHAnsi" w:eastAsia="Times New Roman" w:hAnsiTheme="minorHAnsi" w:cstheme="minorHAnsi"/>
          <w:sz w:val="24"/>
          <w:szCs w:val="24"/>
        </w:rPr>
      </w:pPr>
    </w:p>
    <w:p w14:paraId="307397B5" w14:textId="77777777" w:rsidR="00E71FCB" w:rsidRPr="00436869" w:rsidRDefault="00E71FCB" w:rsidP="00E71FCB">
      <w:pPr>
        <w:spacing w:before="8"/>
        <w:rPr>
          <w:rFonts w:asciiTheme="minorHAnsi" w:eastAsia="Times New Roman" w:hAnsiTheme="minorHAnsi" w:cstheme="minorHAnsi"/>
          <w:sz w:val="24"/>
          <w:szCs w:val="24"/>
        </w:rPr>
      </w:pPr>
    </w:p>
    <w:p w14:paraId="07604AEA" w14:textId="3AC32C02" w:rsidR="00FF7A2E" w:rsidRPr="00B24E6A" w:rsidRDefault="00B24E6A" w:rsidP="00B24E6A">
      <w:pPr>
        <w:spacing w:before="8"/>
        <w:rPr>
          <w:rFonts w:asciiTheme="minorHAnsi" w:hAnsiTheme="minorHAnsi" w:cstheme="minorHAnsi"/>
        </w:rPr>
      </w:pPr>
      <w:r>
        <w:rPr>
          <w:rFonts w:asciiTheme="minorHAnsi" w:hAnsiTheme="minorHAnsi" w:cstheme="minorHAnsi"/>
        </w:rPr>
        <w:t>END</w:t>
      </w:r>
    </w:p>
    <w:sectPr w:rsidR="00FF7A2E" w:rsidRPr="00B24E6A" w:rsidSect="0014575D">
      <w:headerReference w:type="first" r:id="rId20"/>
      <w:pgSz w:w="16839" w:h="11907" w:orient="landscape" w:code="9"/>
      <w:pgMar w:top="2098" w:right="2835" w:bottom="1134" w:left="1418"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2C6C" w14:textId="77777777" w:rsidR="0013629A" w:rsidRDefault="0013629A">
      <w:pPr>
        <w:spacing w:after="0" w:line="240" w:lineRule="auto"/>
      </w:pPr>
      <w:r>
        <w:separator/>
      </w:r>
    </w:p>
    <w:p w14:paraId="30222C56" w14:textId="77777777" w:rsidR="0013629A" w:rsidRDefault="0013629A"/>
  </w:endnote>
  <w:endnote w:type="continuationSeparator" w:id="0">
    <w:p w14:paraId="1E974E80" w14:textId="77777777" w:rsidR="0013629A" w:rsidRDefault="0013629A">
      <w:pPr>
        <w:spacing w:after="0" w:line="240" w:lineRule="auto"/>
      </w:pPr>
      <w:r>
        <w:continuationSeparator/>
      </w:r>
    </w:p>
    <w:p w14:paraId="2DAB5739" w14:textId="77777777" w:rsidR="0013629A" w:rsidRDefault="0013629A"/>
  </w:endnote>
  <w:endnote w:type="continuationNotice" w:id="1">
    <w:p w14:paraId="5FCF8E91" w14:textId="77777777" w:rsidR="0013629A" w:rsidRDefault="00136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Black">
    <w:charset w:val="00"/>
    <w:family w:val="auto"/>
    <w:pitch w:val="variable"/>
    <w:sig w:usb0="00000001"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13D0" w14:textId="77777777" w:rsidR="005B5C2B" w:rsidRDefault="005B5C2B" w:rsidP="00C747F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01309C7" w14:textId="77777777" w:rsidR="007C593D" w:rsidRDefault="007C593D" w:rsidP="005B5C2B">
    <w:pPr>
      <w:pStyle w:val="Footer"/>
      <w:ind w:firstLine="360"/>
      <w:rPr>
        <w:rStyle w:val="PageNumber"/>
      </w:rPr>
    </w:pPr>
  </w:p>
  <w:p w14:paraId="756ACA77" w14:textId="77777777" w:rsidR="00292BE0" w:rsidRDefault="00292BE0" w:rsidP="00335CDC">
    <w:pPr>
      <w:pStyle w:val="Footer"/>
    </w:pPr>
  </w:p>
  <w:p w14:paraId="1CE639C2" w14:textId="77777777" w:rsidR="008419D0" w:rsidRDefault="008419D0"/>
  <w:p w14:paraId="474298C6" w14:textId="77777777" w:rsidR="00512F7A" w:rsidRDefault="00512F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DAEF" w14:textId="77777777" w:rsidR="005B5C2B" w:rsidRPr="005B5C2B" w:rsidRDefault="005B5C2B" w:rsidP="006F7247">
    <w:pPr>
      <w:pStyle w:val="Footer"/>
      <w:framePr w:wrap="none" w:vAnchor="text" w:hAnchor="margin" w:y="366"/>
      <w:spacing w:line="60" w:lineRule="exact"/>
      <w:rPr>
        <w:rStyle w:val="PageNumber"/>
        <w:spacing w:val="-40"/>
      </w:rPr>
    </w:pPr>
    <w:r w:rsidRPr="005B5C2B">
      <w:rPr>
        <w:rStyle w:val="PageNumber"/>
        <w:spacing w:val="-40"/>
      </w:rPr>
      <w:t>——</w:t>
    </w:r>
  </w:p>
  <w:p w14:paraId="1248F312" w14:textId="77777777" w:rsidR="005B5C2B" w:rsidRDefault="005B5C2B"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786D3A">
      <w:rPr>
        <w:rStyle w:val="PageNumber"/>
        <w:noProof/>
      </w:rPr>
      <w:t>2</w:t>
    </w:r>
    <w:r>
      <w:rPr>
        <w:rStyle w:val="PageNumber"/>
      </w:rPr>
      <w:fldChar w:fldCharType="end"/>
    </w:r>
  </w:p>
  <w:p w14:paraId="13A1B0C4" w14:textId="77777777" w:rsidR="005B5C2B" w:rsidRDefault="005B5C2B" w:rsidP="005B5C2B">
    <w:pPr>
      <w:pStyle w:val="Footer"/>
    </w:pPr>
  </w:p>
  <w:p w14:paraId="3D06FDA9" w14:textId="77777777" w:rsidR="00512F7A" w:rsidRDefault="00512F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231C" w14:textId="2CF9BEC1" w:rsidR="00CB1F2A" w:rsidRDefault="00287A98" w:rsidP="00CB1F2A">
    <w:pPr>
      <w:pStyle w:val="EndorsementText"/>
    </w:pPr>
    <w:r>
      <w:t>Company Law – Accounting and Audit Policy Unit</w:t>
    </w:r>
    <w:r w:rsidR="00D76841" w:rsidRPr="00D76841">
      <w:t xml:space="preserve"> </w:t>
    </w:r>
  </w:p>
  <w:p w14:paraId="1054953C" w14:textId="25B87B1D" w:rsidR="00D76841" w:rsidRPr="00D76841" w:rsidRDefault="00287A98" w:rsidP="00CB1F2A">
    <w:pPr>
      <w:pStyle w:val="EndorsementText"/>
    </w:pPr>
    <w: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4FA6" w14:textId="77777777" w:rsidR="0013629A" w:rsidRDefault="0013629A">
      <w:pPr>
        <w:spacing w:after="0" w:line="240" w:lineRule="auto"/>
      </w:pPr>
      <w:r>
        <w:separator/>
      </w:r>
    </w:p>
    <w:p w14:paraId="62704248" w14:textId="77777777" w:rsidR="0013629A" w:rsidRDefault="0013629A"/>
  </w:footnote>
  <w:footnote w:type="continuationSeparator" w:id="0">
    <w:p w14:paraId="62F4F677" w14:textId="77777777" w:rsidR="0013629A" w:rsidRDefault="0013629A">
      <w:pPr>
        <w:spacing w:after="0" w:line="240" w:lineRule="auto"/>
      </w:pPr>
      <w:r>
        <w:continuationSeparator/>
      </w:r>
    </w:p>
    <w:p w14:paraId="6AA01157" w14:textId="77777777" w:rsidR="0013629A" w:rsidRDefault="0013629A"/>
  </w:footnote>
  <w:footnote w:type="continuationNotice" w:id="1">
    <w:p w14:paraId="5F40ADC6" w14:textId="77777777" w:rsidR="0013629A" w:rsidRDefault="0013629A">
      <w:pPr>
        <w:spacing w:after="0" w:line="240" w:lineRule="auto"/>
      </w:pPr>
    </w:p>
  </w:footnote>
  <w:footnote w:id="2">
    <w:p w14:paraId="44751E11" w14:textId="77777777" w:rsidR="0092059A" w:rsidRPr="00824635" w:rsidRDefault="0092059A" w:rsidP="0092059A">
      <w:pPr>
        <w:pStyle w:val="FootnoteText"/>
        <w:rPr>
          <w:lang w:val="fr-BE"/>
        </w:rPr>
      </w:pPr>
      <w:r>
        <w:rPr>
          <w:rStyle w:val="FootnoteReference"/>
        </w:rPr>
        <w:footnoteRef/>
      </w:r>
      <w:r w:rsidRPr="00824635">
        <w:rPr>
          <w:lang w:val="fr-BE"/>
        </w:rPr>
        <w:t xml:space="preserve"> </w:t>
      </w:r>
      <w:hyperlink r:id="rId1" w:history="1">
        <w:r w:rsidRPr="00824635">
          <w:rPr>
            <w:rStyle w:val="Hyperlink"/>
            <w:lang w:val="fr-BE"/>
          </w:rPr>
          <w:t>EUR-Lex - 32022L2464 - EN - EUR-Lex (europa.eu)</w:t>
        </w:r>
      </w:hyperlink>
    </w:p>
  </w:footnote>
  <w:footnote w:id="3">
    <w:p w14:paraId="5C0F571A" w14:textId="77777777" w:rsidR="0092059A" w:rsidRPr="00CE3AE3" w:rsidRDefault="0092059A" w:rsidP="0092059A">
      <w:pPr>
        <w:pStyle w:val="FootnoteText"/>
        <w:rPr>
          <w:rFonts w:asciiTheme="minorHAnsi" w:hAnsiTheme="minorHAnsi" w:cstheme="minorHAnsi"/>
          <w:sz w:val="22"/>
          <w:szCs w:val="22"/>
        </w:rPr>
      </w:pPr>
      <w:r w:rsidRPr="00CE3AE3">
        <w:rPr>
          <w:rStyle w:val="FootnoteReference"/>
          <w:rFonts w:ascii="Arial" w:hAnsi="Arial" w:cs="Arial"/>
          <w:sz w:val="21"/>
          <w:szCs w:val="21"/>
        </w:rPr>
        <w:footnoteRef/>
      </w:r>
      <w:r w:rsidRPr="00CE3AE3">
        <w:rPr>
          <w:rFonts w:cs="Arial"/>
          <w:sz w:val="21"/>
          <w:szCs w:val="21"/>
        </w:rPr>
        <w:t xml:space="preserve"> </w:t>
      </w:r>
      <w:r w:rsidRPr="00CE3AE3">
        <w:rPr>
          <w:rFonts w:asciiTheme="minorHAnsi" w:hAnsiTheme="minorHAnsi" w:cstheme="minorHAnsi"/>
          <w:sz w:val="22"/>
          <w:szCs w:val="22"/>
        </w:rPr>
        <w:t>Banks, Insurance undertakings, companies listed on a main market in the EU</w:t>
      </w:r>
    </w:p>
  </w:footnote>
  <w:footnote w:id="4">
    <w:p w14:paraId="538D73FC" w14:textId="77777777" w:rsidR="0092059A" w:rsidRPr="00CE3AE3" w:rsidRDefault="0092059A" w:rsidP="0092059A">
      <w:pPr>
        <w:pStyle w:val="FootnoteText"/>
        <w:rPr>
          <w:rFonts w:asciiTheme="minorHAnsi" w:hAnsiTheme="minorHAnsi" w:cstheme="minorHAnsi"/>
          <w:sz w:val="22"/>
          <w:szCs w:val="22"/>
          <w:lang w:val="en-IE"/>
        </w:rPr>
      </w:pPr>
      <w:r w:rsidRPr="00CE3AE3">
        <w:rPr>
          <w:rStyle w:val="FootnoteReference"/>
          <w:rFonts w:asciiTheme="minorHAnsi" w:hAnsiTheme="minorHAnsi" w:cstheme="minorHAnsi"/>
          <w:sz w:val="22"/>
          <w:szCs w:val="22"/>
        </w:rPr>
        <w:footnoteRef/>
      </w:r>
      <w:r w:rsidRPr="00CE3AE3">
        <w:rPr>
          <w:rFonts w:asciiTheme="minorHAnsi" w:hAnsiTheme="minorHAnsi" w:cstheme="minorHAnsi"/>
          <w:sz w:val="22"/>
          <w:szCs w:val="22"/>
        </w:rPr>
        <w:t xml:space="preserve"> </w:t>
      </w:r>
      <w:hyperlink r:id="rId2" w:history="1">
        <w:r w:rsidRPr="00CE3AE3">
          <w:rPr>
            <w:rStyle w:val="Hyperlink"/>
            <w:rFonts w:asciiTheme="minorHAnsi" w:hAnsiTheme="minorHAnsi" w:cstheme="minorHAnsi"/>
            <w:sz w:val="22"/>
            <w:szCs w:val="22"/>
          </w:rPr>
          <w:t>First Set of draft ESRS - EFRAG</w:t>
        </w:r>
      </w:hyperlink>
    </w:p>
  </w:footnote>
  <w:footnote w:id="5">
    <w:p w14:paraId="4867A419" w14:textId="7A1EE2CA" w:rsidR="00C36AD8" w:rsidRPr="00CE3AE3" w:rsidRDefault="00C36AD8">
      <w:pPr>
        <w:pStyle w:val="FootnoteText"/>
        <w:rPr>
          <w:lang w:val="en-IE"/>
        </w:rPr>
      </w:pPr>
      <w:r w:rsidRPr="00CE3AE3">
        <w:rPr>
          <w:rStyle w:val="FootnoteReference"/>
          <w:rFonts w:asciiTheme="minorHAnsi" w:hAnsiTheme="minorHAnsi" w:cstheme="minorHAnsi"/>
          <w:sz w:val="22"/>
          <w:szCs w:val="22"/>
        </w:rPr>
        <w:footnoteRef/>
      </w:r>
      <w:r w:rsidR="00CE3AE3" w:rsidRPr="00CE3AE3">
        <w:rPr>
          <w:rFonts w:asciiTheme="minorHAnsi" w:hAnsiTheme="minorHAnsi" w:cstheme="minorHAnsi"/>
          <w:sz w:val="22"/>
          <w:szCs w:val="22"/>
          <w:lang w:val="en-IE"/>
        </w:rPr>
        <w:t xml:space="preserve"> Measures implementing Article 3 and 4 of the </w:t>
      </w:r>
      <w:proofErr w:type="gramStart"/>
      <w:r w:rsidR="00CE3AE3" w:rsidRPr="00CE3AE3">
        <w:rPr>
          <w:rFonts w:asciiTheme="minorHAnsi" w:hAnsiTheme="minorHAnsi" w:cstheme="minorHAnsi"/>
          <w:sz w:val="22"/>
          <w:szCs w:val="22"/>
          <w:lang w:val="en-IE"/>
        </w:rPr>
        <w:t>directive</w:t>
      </w:r>
      <w:proofErr w:type="gramEnd"/>
      <w:r w:rsidR="00CE3AE3" w:rsidRPr="00CE3AE3">
        <w:rPr>
          <w:rFonts w:asciiTheme="minorHAnsi" w:hAnsiTheme="minorHAnsi" w:cstheme="minorHAnsi"/>
          <w:sz w:val="22"/>
          <w:szCs w:val="22"/>
          <w:lang w:val="en-IE"/>
        </w:rPr>
        <w:t xml:space="preserve"> must be in place by 1 January 2024</w:t>
      </w:r>
    </w:p>
  </w:footnote>
  <w:footnote w:id="6">
    <w:p w14:paraId="2CF0E1BE" w14:textId="1E6D709A" w:rsidR="00FE2E2C" w:rsidRPr="000157E8" w:rsidRDefault="00FE2E2C">
      <w:pPr>
        <w:pStyle w:val="FootnoteText"/>
        <w:rPr>
          <w:rFonts w:asciiTheme="minorHAnsi" w:hAnsiTheme="minorHAnsi" w:cstheme="minorHAnsi"/>
          <w:sz w:val="22"/>
          <w:szCs w:val="22"/>
          <w:lang w:val="en-IE"/>
        </w:rPr>
      </w:pPr>
      <w:r w:rsidRPr="00FE2E2C">
        <w:rPr>
          <w:rStyle w:val="FootnoteReference"/>
          <w:rFonts w:asciiTheme="minorHAnsi" w:hAnsiTheme="minorHAnsi" w:cstheme="minorHAnsi"/>
          <w:sz w:val="20"/>
          <w:szCs w:val="20"/>
        </w:rPr>
        <w:footnoteRef/>
      </w:r>
      <w:r w:rsidRPr="00FE2E2C">
        <w:rPr>
          <w:rFonts w:asciiTheme="minorHAnsi" w:hAnsiTheme="minorHAnsi" w:cstheme="minorHAnsi"/>
          <w:sz w:val="20"/>
          <w:szCs w:val="20"/>
          <w:lang w:val="en-IE"/>
        </w:rPr>
        <w:t xml:space="preserve"> </w:t>
      </w:r>
      <w:r w:rsidR="008D343C" w:rsidRPr="000157E8">
        <w:rPr>
          <w:rFonts w:asciiTheme="minorHAnsi" w:hAnsiTheme="minorHAnsi" w:cstheme="minorHAnsi"/>
          <w:sz w:val="22"/>
          <w:szCs w:val="22"/>
          <w:lang w:val="en-IE"/>
        </w:rPr>
        <w:t xml:space="preserve">Only </w:t>
      </w:r>
      <w:r w:rsidR="000157E8">
        <w:rPr>
          <w:rFonts w:asciiTheme="minorHAnsi" w:hAnsiTheme="minorHAnsi" w:cstheme="minorHAnsi"/>
          <w:sz w:val="22"/>
          <w:szCs w:val="22"/>
          <w:lang w:val="en-IE"/>
        </w:rPr>
        <w:t>undertakings</w:t>
      </w:r>
      <w:r w:rsidR="008D343C" w:rsidRPr="00092194">
        <w:rPr>
          <w:rFonts w:asciiTheme="minorHAnsi" w:hAnsiTheme="minorHAnsi" w:cstheme="minorHAnsi"/>
          <w:sz w:val="22"/>
          <w:szCs w:val="22"/>
          <w:lang w:val="en-IE"/>
        </w:rPr>
        <w:t xml:space="preserve"> already reporting under NFRD</w:t>
      </w:r>
      <w:r w:rsidR="000157E8">
        <w:rPr>
          <w:rFonts w:asciiTheme="minorHAnsi" w:hAnsiTheme="minorHAnsi" w:cstheme="minorHAnsi"/>
          <w:sz w:val="22"/>
          <w:szCs w:val="22"/>
          <w:lang w:val="en-IE"/>
        </w:rPr>
        <w:t>. Under Ireland’s rules these are</w:t>
      </w:r>
      <w:r w:rsidR="00092194">
        <w:rPr>
          <w:rFonts w:asciiTheme="minorHAnsi" w:hAnsiTheme="minorHAnsi" w:cstheme="minorHAnsi"/>
          <w:sz w:val="22"/>
          <w:szCs w:val="22"/>
          <w:lang w:val="en-IE"/>
        </w:rPr>
        <w:t xml:space="preserve"> </w:t>
      </w:r>
      <w:r w:rsidR="00E61B5F">
        <w:rPr>
          <w:rFonts w:asciiTheme="minorHAnsi" w:hAnsiTheme="minorHAnsi" w:cstheme="minorHAnsi"/>
          <w:sz w:val="22"/>
          <w:szCs w:val="22"/>
          <w:lang w:val="en-IE"/>
        </w:rPr>
        <w:t>‘ineligible entities’</w:t>
      </w:r>
      <w:r w:rsidR="008D343C">
        <w:rPr>
          <w:rFonts w:asciiTheme="minorHAnsi" w:hAnsiTheme="minorHAnsi" w:cstheme="minorHAnsi"/>
          <w:sz w:val="22"/>
          <w:szCs w:val="22"/>
          <w:lang w:val="en-IE"/>
        </w:rPr>
        <w:t xml:space="preserve"> in the Companies Act 2014</w:t>
      </w:r>
      <w:r w:rsidR="000157E8">
        <w:rPr>
          <w:rFonts w:asciiTheme="minorHAnsi" w:hAnsiTheme="minorHAnsi" w:cstheme="minorHAnsi"/>
          <w:sz w:val="22"/>
          <w:szCs w:val="22"/>
          <w:lang w:val="en-IE"/>
        </w:rPr>
        <w:t xml:space="preserve"> - </w:t>
      </w:r>
      <w:hyperlink r:id="rId3" w:history="1">
        <w:r w:rsidR="000157E8" w:rsidRPr="000157E8">
          <w:rPr>
            <w:rStyle w:val="Hyperlink"/>
            <w:rFonts w:asciiTheme="minorHAnsi" w:hAnsiTheme="minorHAnsi" w:cstheme="minorHAnsi"/>
            <w:sz w:val="22"/>
            <w:szCs w:val="22"/>
          </w:rPr>
          <w:t>S.I. No. 360/2017 - European Union (Disclosure of Non-Financial and Diversity Information by certain large undertakings and groups) Regulations 2017. (irishstatutebook.ie)</w:t>
        </w:r>
      </w:hyperlink>
      <w:r w:rsidRPr="000157E8">
        <w:rPr>
          <w:rFonts w:asciiTheme="minorHAnsi" w:hAnsiTheme="minorHAnsi" w:cstheme="minorHAnsi"/>
          <w:sz w:val="22"/>
          <w:szCs w:val="22"/>
          <w:lang w:val="en-IE"/>
        </w:rPr>
        <w:t>.</w:t>
      </w:r>
    </w:p>
  </w:footnote>
  <w:footnote w:id="7">
    <w:p w14:paraId="1D58FE47" w14:textId="77777777" w:rsidR="00E71FCB" w:rsidRPr="00FE2E2C" w:rsidRDefault="00E71FCB" w:rsidP="00E71FCB">
      <w:pPr>
        <w:pStyle w:val="TableParagraph"/>
        <w:spacing w:before="41" w:line="276" w:lineRule="auto"/>
        <w:rPr>
          <w:rFonts w:ascii="Times New Roman" w:eastAsia="Calibri" w:hAnsi="Times New Roman" w:cs="Times New Roman"/>
          <w:spacing w:val="-1"/>
          <w:sz w:val="24"/>
          <w:szCs w:val="24"/>
          <w:lang w:val="en-IE"/>
        </w:rPr>
      </w:pPr>
      <w:r>
        <w:rPr>
          <w:rStyle w:val="FootnoteReference"/>
        </w:rPr>
        <w:footnoteRef/>
      </w:r>
      <w:r w:rsidRPr="00FE2E2C">
        <w:rPr>
          <w:lang w:val="en-IE"/>
        </w:rPr>
        <w:t xml:space="preserve"> </w:t>
      </w:r>
      <w:hyperlink r:id="rId4" w:history="1">
        <w:r w:rsidRPr="00FE2E2C">
          <w:rPr>
            <w:rStyle w:val="Hyperlink"/>
            <w:lang w:val="en-IE"/>
          </w:rPr>
          <w:t>EUR-Lex - 02013L0036-20220101 - EN - EUR-Lex (europa.eu)</w:t>
        </w:r>
      </w:hyperlink>
    </w:p>
    <w:p w14:paraId="7A1FBA90" w14:textId="77777777" w:rsidR="00E71FCB" w:rsidRPr="00FE2E2C" w:rsidRDefault="00E71FCB" w:rsidP="00E71FCB">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27BF" w14:textId="77777777" w:rsidR="00287A98" w:rsidRPr="008C1B67" w:rsidRDefault="00287A98" w:rsidP="00287A98">
    <w:pPr>
      <w:pStyle w:val="Header"/>
    </w:pPr>
    <w:r w:rsidRPr="008C1B67">
      <w:rPr>
        <w:lang w:val="en-IE"/>
      </w:rPr>
      <w:t>Public Consultation on the Corporate Sustainability Reporting Directive</w:t>
    </w:r>
  </w:p>
  <w:p w14:paraId="2D454B13" w14:textId="5F8F7CC2" w:rsidR="00512F7A" w:rsidRDefault="00512F7A" w:rsidP="00EF27AC">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66D0" w14:textId="3157BF6F" w:rsidR="005B5C2B" w:rsidRDefault="00466B71" w:rsidP="00CD2C2B">
    <w:pPr>
      <w:pStyle w:val="Header"/>
      <w:ind w:left="-1276"/>
    </w:pPr>
    <w:r>
      <w:rPr>
        <w:noProof/>
        <w:lang w:val="en-IE" w:eastAsia="en-IE"/>
      </w:rPr>
      <w:drawing>
        <wp:anchor distT="0" distB="0" distL="114300" distR="114300" simplePos="0" relativeHeight="251658240" behindDoc="1" locked="0" layoutInCell="1" allowOverlap="1" wp14:anchorId="207AB856" wp14:editId="378FA787">
          <wp:simplePos x="0" y="0"/>
          <wp:positionH relativeFrom="page">
            <wp:align>left</wp:align>
          </wp:positionH>
          <wp:positionV relativeFrom="paragraph">
            <wp:posOffset>314960</wp:posOffset>
          </wp:positionV>
          <wp:extent cx="7559040" cy="9799320"/>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9799320"/>
                  </a:xfrm>
                  <a:prstGeom prst="rect">
                    <a:avLst/>
                  </a:prstGeom>
                </pic:spPr>
              </pic:pic>
            </a:graphicData>
          </a:graphic>
          <wp14:sizeRelH relativeFrom="page">
            <wp14:pctWidth>0</wp14:pctWidth>
          </wp14:sizeRelH>
          <wp14:sizeRelV relativeFrom="page">
            <wp14:pctHeight>0</wp14:pctHeight>
          </wp14:sizeRelV>
        </wp:anchor>
      </w:drawing>
    </w:r>
    <w:r w:rsidR="00CD2C2B" w:rsidRPr="00167BB0">
      <w:rPr>
        <w:rFonts w:cs="Arial"/>
        <w:noProof/>
        <w:color w:val="292B2C"/>
        <w:sz w:val="32"/>
        <w:szCs w:val="32"/>
      </w:rPr>
      <w:drawing>
        <wp:inline distT="0" distB="0" distL="0" distR="0" wp14:anchorId="112D81F4" wp14:editId="62F01FB6">
          <wp:extent cx="2721427" cy="1000125"/>
          <wp:effectExtent l="0" t="0" r="3175" b="0"/>
          <wp:docPr id="3" name="Picture 3" descr="D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052" cy="10209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A368" w14:textId="43195399" w:rsidR="007273B9" w:rsidRDefault="007273B9" w:rsidP="00CD2C2B">
    <w:pPr>
      <w:pStyle w:val="Header"/>
      <w:ind w:left="-1276"/>
    </w:pPr>
    <w:r w:rsidRPr="00167BB0">
      <w:rPr>
        <w:rFonts w:cs="Arial"/>
        <w:noProof/>
        <w:color w:val="292B2C"/>
        <w:sz w:val="32"/>
        <w:szCs w:val="32"/>
      </w:rPr>
      <w:drawing>
        <wp:inline distT="0" distB="0" distL="0" distR="0" wp14:anchorId="58A08FA2" wp14:editId="62753683">
          <wp:extent cx="2721427" cy="1000125"/>
          <wp:effectExtent l="0" t="0" r="3175" b="0"/>
          <wp:docPr id="6" name="Picture 6" descr="D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052" cy="1020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345F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4860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C508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E76D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F823C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D680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7A6EC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54B9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C5C1E5C"/>
    <w:lvl w:ilvl="0">
      <w:start w:val="1"/>
      <w:numFmt w:val="decimal"/>
      <w:lvlText w:val="%1."/>
      <w:lvlJc w:val="left"/>
      <w:pPr>
        <w:tabs>
          <w:tab w:val="num" w:pos="389"/>
        </w:tabs>
        <w:ind w:left="389" w:hanging="389"/>
      </w:pPr>
      <w:rPr>
        <w:rFonts w:hint="default"/>
      </w:rPr>
    </w:lvl>
  </w:abstractNum>
  <w:abstractNum w:abstractNumId="10" w15:restartNumberingAfterBreak="0">
    <w:nsid w:val="FFFFFF89"/>
    <w:multiLevelType w:val="singleLevel"/>
    <w:tmpl w:val="038A2622"/>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7E77DA"/>
    <w:multiLevelType w:val="multilevel"/>
    <w:tmpl w:val="81528A64"/>
    <w:lvl w:ilvl="0">
      <w:start w:val="1"/>
      <w:numFmt w:val="decimal"/>
      <w:lvlText w:val="%1."/>
      <w:lvlJc w:val="left"/>
      <w:pPr>
        <w:tabs>
          <w:tab w:val="num" w:pos="907"/>
        </w:tabs>
        <w:ind w:left="907" w:hanging="453"/>
      </w:pPr>
      <w:rPr>
        <w:rFonts w:ascii="Lato" w:hAnsi="Lato" w:hint="default"/>
        <w:b/>
        <w:i w:val="0"/>
        <w:color w:val="000000" w:themeColor="text1"/>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20886"/>
    <w:multiLevelType w:val="multilevel"/>
    <w:tmpl w:val="22DA748A"/>
    <w:lvl w:ilvl="0">
      <w:start w:val="1"/>
      <w:numFmt w:val="decimal"/>
      <w:lvlText w:val="%1."/>
      <w:lvlJc w:val="left"/>
      <w:pPr>
        <w:tabs>
          <w:tab w:val="num" w:pos="907"/>
        </w:tabs>
        <w:ind w:left="907" w:hanging="4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D70691"/>
    <w:multiLevelType w:val="multilevel"/>
    <w:tmpl w:val="078A913A"/>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A02097"/>
    <w:multiLevelType w:val="multilevel"/>
    <w:tmpl w:val="99E6B8B6"/>
    <w:lvl w:ilvl="0">
      <w:start w:val="1"/>
      <w:numFmt w:val="decimal"/>
      <w:lvlText w:val="%1."/>
      <w:lvlJc w:val="left"/>
      <w:pPr>
        <w:ind w:left="680" w:hanging="340"/>
      </w:pPr>
      <w:rPr>
        <w:rFonts w:ascii="Lato" w:hAnsi="Lato" w:hint="default"/>
        <w:strike w:val="0"/>
        <w:dstrike w:val="0"/>
        <w:color w:val="004D44" w:themeColor="text2"/>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F275CC"/>
    <w:multiLevelType w:val="hybridMultilevel"/>
    <w:tmpl w:val="9ED835A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46934363"/>
    <w:multiLevelType w:val="hybridMultilevel"/>
    <w:tmpl w:val="2AAC50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95F7A77"/>
    <w:multiLevelType w:val="multilevel"/>
    <w:tmpl w:val="5B5E92E0"/>
    <w:lvl w:ilvl="0">
      <w:start w:val="1"/>
      <w:numFmt w:val="decimal"/>
      <w:lvlText w:val="%1."/>
      <w:lvlJc w:val="left"/>
      <w:pPr>
        <w:ind w:left="680" w:hanging="68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85667A"/>
    <w:multiLevelType w:val="multilevel"/>
    <w:tmpl w:val="0D283A8A"/>
    <w:lvl w:ilvl="0">
      <w:start w:val="1"/>
      <w:numFmt w:val="decimal"/>
      <w:lvlText w:val="%1."/>
      <w:lvlJc w:val="left"/>
      <w:pPr>
        <w:ind w:left="340" w:hanging="340"/>
      </w:pPr>
      <w:rPr>
        <w:rFonts w:ascii="Lato" w:hAnsi="Lato" w:hint="default"/>
        <w:strike w:val="0"/>
        <w:dstrike w:val="0"/>
        <w:color w:val="A3912A" w:themeColor="accent6"/>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BD0E7A"/>
    <w:multiLevelType w:val="multilevel"/>
    <w:tmpl w:val="1DD86DDA"/>
    <w:lvl w:ilvl="0">
      <w:start w:val="1"/>
      <w:numFmt w:val="decimal"/>
      <w:lvlText w:val="%1."/>
      <w:lvlJc w:val="left"/>
      <w:pPr>
        <w:ind w:left="340" w:hanging="34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924BF9"/>
    <w:multiLevelType w:val="multilevel"/>
    <w:tmpl w:val="C42673CE"/>
    <w:lvl w:ilvl="0">
      <w:start w:val="1"/>
      <w:numFmt w:val="decimal"/>
      <w:lvlText w:val="%1."/>
      <w:lvlJc w:val="left"/>
      <w:pPr>
        <w:tabs>
          <w:tab w:val="num" w:pos="680"/>
        </w:tabs>
        <w:ind w:left="680" w:hanging="2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6B33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40DD0"/>
    <w:multiLevelType w:val="multilevel"/>
    <w:tmpl w:val="A330FC9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1177095">
    <w:abstractNumId w:val="10"/>
  </w:num>
  <w:num w:numId="2" w16cid:durableId="1050766875">
    <w:abstractNumId w:val="10"/>
    <w:lvlOverride w:ilvl="0">
      <w:startOverride w:val="1"/>
    </w:lvlOverride>
  </w:num>
  <w:num w:numId="3" w16cid:durableId="865408695">
    <w:abstractNumId w:val="13"/>
  </w:num>
  <w:num w:numId="4" w16cid:durableId="506210436">
    <w:abstractNumId w:val="9"/>
  </w:num>
  <w:num w:numId="5" w16cid:durableId="1760444085">
    <w:abstractNumId w:val="25"/>
  </w:num>
  <w:num w:numId="6" w16cid:durableId="284392971">
    <w:abstractNumId w:val="24"/>
  </w:num>
  <w:num w:numId="7" w16cid:durableId="1427841472">
    <w:abstractNumId w:val="11"/>
  </w:num>
  <w:num w:numId="8" w16cid:durableId="1561595573">
    <w:abstractNumId w:val="0"/>
  </w:num>
  <w:num w:numId="9" w16cid:durableId="39550090">
    <w:abstractNumId w:val="1"/>
  </w:num>
  <w:num w:numId="10" w16cid:durableId="483277439">
    <w:abstractNumId w:val="2"/>
  </w:num>
  <w:num w:numId="11" w16cid:durableId="1505366051">
    <w:abstractNumId w:val="3"/>
  </w:num>
  <w:num w:numId="12" w16cid:durableId="1391535618">
    <w:abstractNumId w:val="4"/>
  </w:num>
  <w:num w:numId="13" w16cid:durableId="733161849">
    <w:abstractNumId w:val="5"/>
  </w:num>
  <w:num w:numId="14" w16cid:durableId="1105005885">
    <w:abstractNumId w:val="6"/>
  </w:num>
  <w:num w:numId="15" w16cid:durableId="547643212">
    <w:abstractNumId w:val="7"/>
  </w:num>
  <w:num w:numId="16" w16cid:durableId="198249799">
    <w:abstractNumId w:val="8"/>
  </w:num>
  <w:num w:numId="17" w16cid:durableId="1581328803">
    <w:abstractNumId w:val="27"/>
  </w:num>
  <w:num w:numId="18" w16cid:durableId="1632860159">
    <w:abstractNumId w:val="23"/>
  </w:num>
  <w:num w:numId="19" w16cid:durableId="898708090">
    <w:abstractNumId w:val="16"/>
  </w:num>
  <w:num w:numId="20" w16cid:durableId="1563833571">
    <w:abstractNumId w:val="20"/>
  </w:num>
  <w:num w:numId="21" w16cid:durableId="1716733611">
    <w:abstractNumId w:val="21"/>
  </w:num>
  <w:num w:numId="22" w16cid:durableId="428890673">
    <w:abstractNumId w:val="19"/>
  </w:num>
  <w:num w:numId="23" w16cid:durableId="736174455">
    <w:abstractNumId w:val="26"/>
  </w:num>
  <w:num w:numId="24" w16cid:durableId="173109473">
    <w:abstractNumId w:val="22"/>
  </w:num>
  <w:num w:numId="25" w16cid:durableId="591403366">
    <w:abstractNumId w:val="14"/>
  </w:num>
  <w:num w:numId="26" w16cid:durableId="332345104">
    <w:abstractNumId w:val="12"/>
  </w:num>
  <w:num w:numId="27" w16cid:durableId="1099326494">
    <w:abstractNumId w:val="15"/>
  </w:num>
  <w:num w:numId="28" w16cid:durableId="315765960">
    <w:abstractNumId w:val="18"/>
  </w:num>
  <w:num w:numId="29" w16cid:durableId="2922507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59A"/>
    <w:rsid w:val="000157E8"/>
    <w:rsid w:val="00020D56"/>
    <w:rsid w:val="00024D1C"/>
    <w:rsid w:val="0004703E"/>
    <w:rsid w:val="00050817"/>
    <w:rsid w:val="00055582"/>
    <w:rsid w:val="00055D56"/>
    <w:rsid w:val="00071437"/>
    <w:rsid w:val="0007277B"/>
    <w:rsid w:val="000730A8"/>
    <w:rsid w:val="00082BFF"/>
    <w:rsid w:val="0009126E"/>
    <w:rsid w:val="00091C7C"/>
    <w:rsid w:val="00092194"/>
    <w:rsid w:val="000A3ED1"/>
    <w:rsid w:val="000A7C49"/>
    <w:rsid w:val="000C19D9"/>
    <w:rsid w:val="000D2F9D"/>
    <w:rsid w:val="000E31A9"/>
    <w:rsid w:val="000F30F1"/>
    <w:rsid w:val="00113CCE"/>
    <w:rsid w:val="00115D0A"/>
    <w:rsid w:val="0013629A"/>
    <w:rsid w:val="0014575D"/>
    <w:rsid w:val="00153A7A"/>
    <w:rsid w:val="00155EA5"/>
    <w:rsid w:val="00157141"/>
    <w:rsid w:val="0018789F"/>
    <w:rsid w:val="00190C07"/>
    <w:rsid w:val="0019665B"/>
    <w:rsid w:val="001A0C21"/>
    <w:rsid w:val="001A6E6E"/>
    <w:rsid w:val="001F68DC"/>
    <w:rsid w:val="001F7660"/>
    <w:rsid w:val="00226354"/>
    <w:rsid w:val="00231D54"/>
    <w:rsid w:val="00232738"/>
    <w:rsid w:val="00233A39"/>
    <w:rsid w:val="00254130"/>
    <w:rsid w:val="002749D2"/>
    <w:rsid w:val="00282EB9"/>
    <w:rsid w:val="00287A98"/>
    <w:rsid w:val="00292BE0"/>
    <w:rsid w:val="0029602E"/>
    <w:rsid w:val="002B2482"/>
    <w:rsid w:val="002C35A3"/>
    <w:rsid w:val="00302DC8"/>
    <w:rsid w:val="00321993"/>
    <w:rsid w:val="00325BB9"/>
    <w:rsid w:val="00327982"/>
    <w:rsid w:val="00332529"/>
    <w:rsid w:val="00335CDC"/>
    <w:rsid w:val="00347316"/>
    <w:rsid w:val="0036294A"/>
    <w:rsid w:val="00365396"/>
    <w:rsid w:val="00366FE8"/>
    <w:rsid w:val="003B18B9"/>
    <w:rsid w:val="003C0C08"/>
    <w:rsid w:val="003C4865"/>
    <w:rsid w:val="003D4D1B"/>
    <w:rsid w:val="003F5C7D"/>
    <w:rsid w:val="00412C36"/>
    <w:rsid w:val="0042545D"/>
    <w:rsid w:val="00436869"/>
    <w:rsid w:val="00441DC0"/>
    <w:rsid w:val="00462B4A"/>
    <w:rsid w:val="00463FFC"/>
    <w:rsid w:val="00466B71"/>
    <w:rsid w:val="00476B67"/>
    <w:rsid w:val="004B3274"/>
    <w:rsid w:val="004D0B77"/>
    <w:rsid w:val="004D13E8"/>
    <w:rsid w:val="004E161F"/>
    <w:rsid w:val="004E2954"/>
    <w:rsid w:val="004E6E0F"/>
    <w:rsid w:val="004E7C39"/>
    <w:rsid w:val="00512F7A"/>
    <w:rsid w:val="005135F4"/>
    <w:rsid w:val="00516B47"/>
    <w:rsid w:val="00524387"/>
    <w:rsid w:val="00530695"/>
    <w:rsid w:val="00560EB9"/>
    <w:rsid w:val="00565E81"/>
    <w:rsid w:val="0056763D"/>
    <w:rsid w:val="005716FC"/>
    <w:rsid w:val="0057650B"/>
    <w:rsid w:val="005B3775"/>
    <w:rsid w:val="005B5C2B"/>
    <w:rsid w:val="005D190E"/>
    <w:rsid w:val="005D4389"/>
    <w:rsid w:val="005F42BA"/>
    <w:rsid w:val="005F4F2F"/>
    <w:rsid w:val="0060182D"/>
    <w:rsid w:val="00604EA8"/>
    <w:rsid w:val="00610A48"/>
    <w:rsid w:val="00610BEB"/>
    <w:rsid w:val="00616252"/>
    <w:rsid w:val="00625FA2"/>
    <w:rsid w:val="00633161"/>
    <w:rsid w:val="006350F8"/>
    <w:rsid w:val="00637F7A"/>
    <w:rsid w:val="00640490"/>
    <w:rsid w:val="006623DF"/>
    <w:rsid w:val="00671372"/>
    <w:rsid w:val="0068370F"/>
    <w:rsid w:val="00690D92"/>
    <w:rsid w:val="00692F85"/>
    <w:rsid w:val="00695986"/>
    <w:rsid w:val="00697276"/>
    <w:rsid w:val="006A60C3"/>
    <w:rsid w:val="006B7B8D"/>
    <w:rsid w:val="006D40F3"/>
    <w:rsid w:val="006D4EC3"/>
    <w:rsid w:val="006D6D2A"/>
    <w:rsid w:val="006E04B6"/>
    <w:rsid w:val="006F7247"/>
    <w:rsid w:val="007102CD"/>
    <w:rsid w:val="007120BA"/>
    <w:rsid w:val="007147ED"/>
    <w:rsid w:val="00715636"/>
    <w:rsid w:val="00720D69"/>
    <w:rsid w:val="00722A88"/>
    <w:rsid w:val="007273B9"/>
    <w:rsid w:val="00733690"/>
    <w:rsid w:val="007475AF"/>
    <w:rsid w:val="007511ED"/>
    <w:rsid w:val="007518C0"/>
    <w:rsid w:val="00755210"/>
    <w:rsid w:val="0075716E"/>
    <w:rsid w:val="00760F79"/>
    <w:rsid w:val="00770327"/>
    <w:rsid w:val="00777D29"/>
    <w:rsid w:val="00786D3A"/>
    <w:rsid w:val="00795AE3"/>
    <w:rsid w:val="007B30B0"/>
    <w:rsid w:val="007B4902"/>
    <w:rsid w:val="007C593D"/>
    <w:rsid w:val="007F7506"/>
    <w:rsid w:val="00800CF7"/>
    <w:rsid w:val="00803A67"/>
    <w:rsid w:val="00804D93"/>
    <w:rsid w:val="00805866"/>
    <w:rsid w:val="00807FB7"/>
    <w:rsid w:val="0081457E"/>
    <w:rsid w:val="00815DEC"/>
    <w:rsid w:val="00817CC8"/>
    <w:rsid w:val="008213FA"/>
    <w:rsid w:val="00824791"/>
    <w:rsid w:val="00824BE2"/>
    <w:rsid w:val="008419D0"/>
    <w:rsid w:val="00842475"/>
    <w:rsid w:val="00844232"/>
    <w:rsid w:val="00857E68"/>
    <w:rsid w:val="00865251"/>
    <w:rsid w:val="008839C4"/>
    <w:rsid w:val="008A1D07"/>
    <w:rsid w:val="008B351A"/>
    <w:rsid w:val="008B6CF3"/>
    <w:rsid w:val="008B752E"/>
    <w:rsid w:val="008C2F83"/>
    <w:rsid w:val="008D343C"/>
    <w:rsid w:val="008E70E2"/>
    <w:rsid w:val="008E7FA1"/>
    <w:rsid w:val="00907242"/>
    <w:rsid w:val="00911AFE"/>
    <w:rsid w:val="0092059A"/>
    <w:rsid w:val="00924E5C"/>
    <w:rsid w:val="0093635A"/>
    <w:rsid w:val="009633DA"/>
    <w:rsid w:val="00971026"/>
    <w:rsid w:val="00994629"/>
    <w:rsid w:val="009F6661"/>
    <w:rsid w:val="00A02EE0"/>
    <w:rsid w:val="00A1132D"/>
    <w:rsid w:val="00A12C40"/>
    <w:rsid w:val="00A12CA1"/>
    <w:rsid w:val="00A14235"/>
    <w:rsid w:val="00A178D0"/>
    <w:rsid w:val="00A230DA"/>
    <w:rsid w:val="00A35E5C"/>
    <w:rsid w:val="00A453DB"/>
    <w:rsid w:val="00A53BC0"/>
    <w:rsid w:val="00A57AC1"/>
    <w:rsid w:val="00A60D63"/>
    <w:rsid w:val="00A828DD"/>
    <w:rsid w:val="00A947BF"/>
    <w:rsid w:val="00AA2D17"/>
    <w:rsid w:val="00AB373E"/>
    <w:rsid w:val="00AC7726"/>
    <w:rsid w:val="00AD0F97"/>
    <w:rsid w:val="00AE1F61"/>
    <w:rsid w:val="00B00B5C"/>
    <w:rsid w:val="00B1244F"/>
    <w:rsid w:val="00B24E6A"/>
    <w:rsid w:val="00B30BAC"/>
    <w:rsid w:val="00B37AB9"/>
    <w:rsid w:val="00B51B5B"/>
    <w:rsid w:val="00B64DDE"/>
    <w:rsid w:val="00B76817"/>
    <w:rsid w:val="00B814F5"/>
    <w:rsid w:val="00B91108"/>
    <w:rsid w:val="00BA3EFB"/>
    <w:rsid w:val="00BB0528"/>
    <w:rsid w:val="00BB716C"/>
    <w:rsid w:val="00BC61D0"/>
    <w:rsid w:val="00BD3C05"/>
    <w:rsid w:val="00BE3212"/>
    <w:rsid w:val="00BF7F98"/>
    <w:rsid w:val="00C36AD8"/>
    <w:rsid w:val="00C40560"/>
    <w:rsid w:val="00C564BF"/>
    <w:rsid w:val="00C6191F"/>
    <w:rsid w:val="00C61F8C"/>
    <w:rsid w:val="00C63757"/>
    <w:rsid w:val="00C82220"/>
    <w:rsid w:val="00C84838"/>
    <w:rsid w:val="00C93711"/>
    <w:rsid w:val="00C9455B"/>
    <w:rsid w:val="00CA2F34"/>
    <w:rsid w:val="00CB1F2A"/>
    <w:rsid w:val="00CB49D9"/>
    <w:rsid w:val="00CB616D"/>
    <w:rsid w:val="00CB7D2E"/>
    <w:rsid w:val="00CC31D6"/>
    <w:rsid w:val="00CD2C2B"/>
    <w:rsid w:val="00CE3AE3"/>
    <w:rsid w:val="00CE72C8"/>
    <w:rsid w:val="00D2039F"/>
    <w:rsid w:val="00D20786"/>
    <w:rsid w:val="00D52F93"/>
    <w:rsid w:val="00D76841"/>
    <w:rsid w:val="00E0201A"/>
    <w:rsid w:val="00E115E1"/>
    <w:rsid w:val="00E14392"/>
    <w:rsid w:val="00E23E1A"/>
    <w:rsid w:val="00E241C2"/>
    <w:rsid w:val="00E26789"/>
    <w:rsid w:val="00E571AC"/>
    <w:rsid w:val="00E61B5F"/>
    <w:rsid w:val="00E71B3B"/>
    <w:rsid w:val="00E71FCB"/>
    <w:rsid w:val="00E84684"/>
    <w:rsid w:val="00E94117"/>
    <w:rsid w:val="00EA5124"/>
    <w:rsid w:val="00EA5AE3"/>
    <w:rsid w:val="00EB580B"/>
    <w:rsid w:val="00EC4DDA"/>
    <w:rsid w:val="00EC7894"/>
    <w:rsid w:val="00EF27AC"/>
    <w:rsid w:val="00F00772"/>
    <w:rsid w:val="00F153CE"/>
    <w:rsid w:val="00F36445"/>
    <w:rsid w:val="00F45D39"/>
    <w:rsid w:val="00F80428"/>
    <w:rsid w:val="00F94CB4"/>
    <w:rsid w:val="00F969E0"/>
    <w:rsid w:val="00FA1F89"/>
    <w:rsid w:val="00FB1C79"/>
    <w:rsid w:val="00FB4458"/>
    <w:rsid w:val="00FC3B6A"/>
    <w:rsid w:val="00FE0444"/>
    <w:rsid w:val="00FE25AE"/>
    <w:rsid w:val="00FE2E2C"/>
    <w:rsid w:val="00FF3722"/>
    <w:rsid w:val="00FF7A2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37CA3"/>
  <w15:chartTrackingRefBased/>
  <w15:docId w15:val="{6CD34ACA-0053-4C6D-8C2A-B948052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9A"/>
    <w:pPr>
      <w:tabs>
        <w:tab w:val="left" w:pos="454"/>
        <w:tab w:val="left" w:pos="907"/>
        <w:tab w:val="left" w:pos="1361"/>
        <w:tab w:val="left" w:pos="1814"/>
        <w:tab w:val="left" w:pos="2268"/>
      </w:tabs>
      <w:spacing w:after="270" w:line="270" w:lineRule="exact"/>
    </w:pPr>
    <w:rPr>
      <w:rFonts w:ascii="Arial" w:hAnsi="Arial"/>
      <w:color w:val="000000" w:themeColor="text1"/>
      <w:sz w:val="21"/>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7"/>
      </w:numPr>
      <w:spacing w:before="80" w:after="8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qFormat/>
    <w:rsid w:val="00EA5AE3"/>
    <w:pPr>
      <w:keepNext/>
      <w:keepLines/>
      <w:pageBreakBefore w:val="0"/>
      <w:pBdr>
        <w:top w:val="none" w:sz="0" w:space="0" w:color="auto"/>
      </w:pBdr>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6"/>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semiHidden/>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8"/>
      </w:numPr>
      <w:spacing w:after="0"/>
      <w:contextualSpacing/>
      <w:outlineLvl w:val="0"/>
    </w:pPr>
  </w:style>
  <w:style w:type="paragraph" w:customStyle="1" w:styleId="NoteLevel2">
    <w:name w:val="Note Level 2"/>
    <w:basedOn w:val="Normal"/>
    <w:uiPriority w:val="99"/>
    <w:rsid w:val="00A35E5C"/>
    <w:pPr>
      <w:keepNext/>
      <w:numPr>
        <w:ilvl w:val="1"/>
        <w:numId w:val="8"/>
      </w:numPr>
      <w:spacing w:after="0"/>
      <w:contextualSpacing/>
      <w:outlineLvl w:val="1"/>
    </w:pPr>
  </w:style>
  <w:style w:type="paragraph" w:customStyle="1" w:styleId="NoteLevel3">
    <w:name w:val="Note Level 3"/>
    <w:basedOn w:val="Normal"/>
    <w:uiPriority w:val="99"/>
    <w:rsid w:val="00A35E5C"/>
    <w:pPr>
      <w:keepNext/>
      <w:numPr>
        <w:ilvl w:val="2"/>
        <w:numId w:val="8"/>
      </w:numPr>
      <w:spacing w:after="0"/>
      <w:contextualSpacing/>
      <w:outlineLvl w:val="2"/>
    </w:pPr>
  </w:style>
  <w:style w:type="paragraph" w:customStyle="1" w:styleId="NoteLevel4">
    <w:name w:val="Note Level 4"/>
    <w:basedOn w:val="Normal"/>
    <w:uiPriority w:val="99"/>
    <w:rsid w:val="00A35E5C"/>
    <w:pPr>
      <w:keepNext/>
      <w:numPr>
        <w:ilvl w:val="3"/>
        <w:numId w:val="8"/>
      </w:numPr>
      <w:spacing w:after="0"/>
      <w:contextualSpacing/>
      <w:outlineLvl w:val="3"/>
    </w:pPr>
  </w:style>
  <w:style w:type="paragraph" w:customStyle="1" w:styleId="NoteLevel5">
    <w:name w:val="Note Level 5"/>
    <w:basedOn w:val="Normal"/>
    <w:uiPriority w:val="99"/>
    <w:rsid w:val="00A35E5C"/>
    <w:pPr>
      <w:keepNext/>
      <w:numPr>
        <w:ilvl w:val="4"/>
        <w:numId w:val="8"/>
      </w:numPr>
      <w:spacing w:after="0"/>
      <w:contextualSpacing/>
      <w:outlineLvl w:val="4"/>
    </w:pPr>
  </w:style>
  <w:style w:type="paragraph" w:customStyle="1" w:styleId="NoteLevel6">
    <w:name w:val="Note Level 6"/>
    <w:basedOn w:val="Normal"/>
    <w:uiPriority w:val="99"/>
    <w:rsid w:val="00A35E5C"/>
    <w:pPr>
      <w:keepNext/>
      <w:numPr>
        <w:ilvl w:val="5"/>
        <w:numId w:val="8"/>
      </w:numPr>
      <w:spacing w:after="0"/>
      <w:contextualSpacing/>
      <w:outlineLvl w:val="5"/>
    </w:pPr>
  </w:style>
  <w:style w:type="paragraph" w:customStyle="1" w:styleId="NoteLevel7">
    <w:name w:val="Note Level 7"/>
    <w:basedOn w:val="Normal"/>
    <w:uiPriority w:val="99"/>
    <w:rsid w:val="00A35E5C"/>
    <w:pPr>
      <w:keepNext/>
      <w:numPr>
        <w:ilvl w:val="6"/>
        <w:numId w:val="8"/>
      </w:numPr>
      <w:spacing w:after="0"/>
      <w:contextualSpacing/>
      <w:outlineLvl w:val="6"/>
    </w:pPr>
  </w:style>
  <w:style w:type="paragraph" w:customStyle="1" w:styleId="NoteLevel8">
    <w:name w:val="Note Level 8"/>
    <w:basedOn w:val="Normal"/>
    <w:uiPriority w:val="99"/>
    <w:rsid w:val="00A35E5C"/>
    <w:pPr>
      <w:keepNext/>
      <w:numPr>
        <w:ilvl w:val="7"/>
        <w:numId w:val="8"/>
      </w:numPr>
      <w:spacing w:after="0"/>
      <w:contextualSpacing/>
      <w:outlineLvl w:val="7"/>
    </w:pPr>
  </w:style>
  <w:style w:type="paragraph" w:customStyle="1" w:styleId="NoteLevel9">
    <w:name w:val="Note Level 9"/>
    <w:basedOn w:val="Normal"/>
    <w:uiPriority w:val="99"/>
    <w:rsid w:val="00A35E5C"/>
    <w:pPr>
      <w:keepNext/>
      <w:numPr>
        <w:ilvl w:val="8"/>
        <w:numId w:val="8"/>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17"/>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BalloonText">
    <w:name w:val="Balloon Text"/>
    <w:basedOn w:val="Normal"/>
    <w:link w:val="BalloonTextChar"/>
    <w:uiPriority w:val="99"/>
    <w:semiHidden/>
    <w:unhideWhenUsed/>
    <w:rsid w:val="000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FF"/>
    <w:rPr>
      <w:rFonts w:ascii="Segoe UI" w:hAnsi="Segoe UI" w:cs="Segoe UI"/>
      <w:color w:val="000000" w:themeColor="text1"/>
      <w:sz w:val="18"/>
      <w:szCs w:val="18"/>
    </w:rPr>
  </w:style>
  <w:style w:type="paragraph" w:styleId="ListParagraph">
    <w:name w:val="List Paragraph"/>
    <w:basedOn w:val="Normal"/>
    <w:link w:val="ListParagraphChar"/>
    <w:uiPriority w:val="34"/>
    <w:qFormat/>
    <w:rsid w:val="0092059A"/>
    <w:pPr>
      <w:tabs>
        <w:tab w:val="clear" w:pos="454"/>
        <w:tab w:val="clear" w:pos="907"/>
        <w:tab w:val="clear" w:pos="1361"/>
        <w:tab w:val="clear" w:pos="1814"/>
        <w:tab w:val="clear" w:pos="2268"/>
      </w:tabs>
      <w:spacing w:after="200" w:line="276" w:lineRule="auto"/>
      <w:ind w:left="720"/>
      <w:contextualSpacing/>
    </w:pPr>
    <w:rPr>
      <w:rFonts w:asciiTheme="minorHAnsi" w:hAnsiTheme="minorHAnsi"/>
      <w:color w:val="auto"/>
      <w:sz w:val="22"/>
      <w:lang w:val="en-IE" w:eastAsia="en-US"/>
    </w:rPr>
  </w:style>
  <w:style w:type="character" w:customStyle="1" w:styleId="ListParagraphChar">
    <w:name w:val="List Paragraph Char"/>
    <w:link w:val="ListParagraph"/>
    <w:uiPriority w:val="34"/>
    <w:locked/>
    <w:rsid w:val="0092059A"/>
    <w:rPr>
      <w:color w:val="auto"/>
      <w:lang w:val="en-IE" w:eastAsia="en-US"/>
    </w:rPr>
  </w:style>
  <w:style w:type="paragraph" w:customStyle="1" w:styleId="TableParagraph">
    <w:name w:val="Table Paragraph"/>
    <w:basedOn w:val="Normal"/>
    <w:uiPriority w:val="1"/>
    <w:qFormat/>
    <w:rsid w:val="0092059A"/>
    <w:pPr>
      <w:widowControl w:val="0"/>
      <w:tabs>
        <w:tab w:val="clear" w:pos="454"/>
        <w:tab w:val="clear" w:pos="907"/>
        <w:tab w:val="clear" w:pos="1361"/>
        <w:tab w:val="clear" w:pos="1814"/>
        <w:tab w:val="clear" w:pos="2268"/>
      </w:tabs>
      <w:spacing w:after="0" w:line="240" w:lineRule="auto"/>
    </w:pPr>
    <w:rPr>
      <w:rFonts w:asciiTheme="minorHAnsi" w:hAnsiTheme="minorHAnsi"/>
      <w:color w:val="auto"/>
      <w:sz w:val="22"/>
      <w:lang w:eastAsia="en-US"/>
    </w:rPr>
  </w:style>
  <w:style w:type="paragraph" w:styleId="Revision">
    <w:name w:val="Revision"/>
    <w:hidden/>
    <w:uiPriority w:val="99"/>
    <w:semiHidden/>
    <w:rsid w:val="004D0B77"/>
    <w:pPr>
      <w:spacing w:after="0" w:line="240" w:lineRule="auto"/>
    </w:pPr>
    <w:rPr>
      <w:rFonts w:ascii="Arial" w:hAnsi="Arial"/>
      <w:color w:val="000000" w:themeColor="text1"/>
      <w:sz w:val="21"/>
    </w:rPr>
  </w:style>
  <w:style w:type="character" w:styleId="CommentReference">
    <w:name w:val="annotation reference"/>
    <w:basedOn w:val="DefaultParagraphFont"/>
    <w:uiPriority w:val="99"/>
    <w:semiHidden/>
    <w:unhideWhenUsed/>
    <w:rsid w:val="004D0B77"/>
    <w:rPr>
      <w:sz w:val="16"/>
      <w:szCs w:val="16"/>
    </w:rPr>
  </w:style>
  <w:style w:type="paragraph" w:styleId="CommentText">
    <w:name w:val="annotation text"/>
    <w:basedOn w:val="Normal"/>
    <w:link w:val="CommentTextChar"/>
    <w:uiPriority w:val="99"/>
    <w:unhideWhenUsed/>
    <w:rsid w:val="004D0B77"/>
    <w:pPr>
      <w:spacing w:line="240" w:lineRule="auto"/>
    </w:pPr>
    <w:rPr>
      <w:sz w:val="20"/>
      <w:szCs w:val="20"/>
    </w:rPr>
  </w:style>
  <w:style w:type="character" w:customStyle="1" w:styleId="CommentTextChar">
    <w:name w:val="Comment Text Char"/>
    <w:basedOn w:val="DefaultParagraphFont"/>
    <w:link w:val="CommentText"/>
    <w:uiPriority w:val="99"/>
    <w:rsid w:val="004D0B7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D0B77"/>
    <w:rPr>
      <w:b/>
      <w:bCs/>
    </w:rPr>
  </w:style>
  <w:style w:type="character" w:customStyle="1" w:styleId="CommentSubjectChar">
    <w:name w:val="Comment Subject Char"/>
    <w:basedOn w:val="CommentTextChar"/>
    <w:link w:val="CommentSubject"/>
    <w:uiPriority w:val="99"/>
    <w:semiHidden/>
    <w:rsid w:val="004D0B77"/>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lex.europa.eu/legal-content/EN/TXT/?uri=uriserv%3AOJ.L_.2022.322.01.0015.01.ENG&amp;amp;toc=OJ%3AL%3A2022%3A322%3ATO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SRD@enterprise.gov.i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rishstatutebook.ie/eli/2017/si/360/made/en/print" TargetMode="External"/><Relationship Id="rId2" Type="http://schemas.openxmlformats.org/officeDocument/2006/relationships/hyperlink" Target="https://www.efrag.org/lab6" TargetMode="External"/><Relationship Id="rId1" Type="http://schemas.openxmlformats.org/officeDocument/2006/relationships/hyperlink" Target="https://eur-lex.europa.eu/legal-content/EN/TXT/?uri=CELEX%3A32022L2464" TargetMode="External"/><Relationship Id="rId4" Type="http://schemas.openxmlformats.org/officeDocument/2006/relationships/hyperlink" Target="https://eur-lex.europa.eu/legal-content/EN/TXT/?uri=CELEX%3A02013L0036-2022010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te\dfs\DeploymentSource\Office2016Templates\DETE%20Report%20Template%20State%20Green.dotx" TargetMode="External"/></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2E0BBC2D61EA584EB26E0831EFA58832" ma:contentTypeVersion="15" ma:contentTypeDescription="Create a new document for eDocs" ma:contentTypeScope="" ma:versionID="abf0301733d470e4b7dae60a96ba03bf">
  <xsd:schema xmlns:xsd="http://www.w3.org/2001/XMLSchema" xmlns:xs="http://www.w3.org/2001/XMLSchema" xmlns:p="http://schemas.microsoft.com/office/2006/metadata/properties" xmlns:ns1="http://schemas.microsoft.com/sharepoint/v3" xmlns:ns2="b680c844-d3fb-417f-8163-e4e1c3b2bbc2" xmlns:ns3="1e108339-2bc6-481a-957c-1afccf5104d9" targetNamespace="http://schemas.microsoft.com/office/2006/metadata/properties" ma:root="true" ma:fieldsID="5b008e9b50acde6720f9839fafbd3ace" ns1:_="" ns2:_="" ns3:_="">
    <xsd:import namespace="http://schemas.microsoft.com/sharepoint/v3"/>
    <xsd:import namespace="b680c844-d3fb-417f-8163-e4e1c3b2bbc2"/>
    <xsd:import namespace="1e108339-2bc6-481a-957c-1afccf5104d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b680c844-d3fb-417f-8163-e4e1c3b2bbc2"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e36a89c-badf-4a75-9c1f-7b6075148829" ma:termSetId="8a03c542-8ee2-42ae-859c-5871d357cf9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e36a89c-badf-4a75-9c1f-7b6075148829" ma:termSetId="19906231-5322-4bde-9eca-e2bf4b2863b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2e36a89c-badf-4a75-9c1f-7b6075148829" ma:termSetId="3dd97c27-f4a3-428e-88ed-ab421e3bf32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779752a3-a421-4077-839c-91815f544ae2" ma:fieldId="{6bbd3faf-a5ab-4e5e-b8a6-a5e099cef439}" ma:sspId="2e36a89c-badf-4a75-9c1f-7b6075148829" ma:termSetId="adff5dbb-d868-43e3-a559-099a223f74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108339-2bc6-481a-957c-1afccf5104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6972a2-890c-427a-814e-863e8e8bbd2d}" ma:internalName="TaxCatchAll" ma:showField="CatchAllData" ma:web="1e108339-2bc6-481a-957c-1afccf510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p:properties xmlns:p="http://schemas.microsoft.com/office/2006/metadata/properties" xmlns:xsi="http://www.w3.org/2001/XMLSchema-instance" xmlns:pc="http://schemas.microsoft.com/office/infopath/2007/PartnerControls">
  <documentManagement>
    <eDocs_FileTopicsTaxHTField0 xmlns="b680c844-d3fb-417f-8163-e4e1c3b2bbc2">
      <Terms xmlns="http://schemas.microsoft.com/office/infopath/2007/PartnerControls">
        <TermInfo xmlns="http://schemas.microsoft.com/office/infopath/2007/PartnerControls">
          <TermName xmlns="http://schemas.microsoft.com/office/infopath/2007/PartnerControls">EU</TermName>
          <TermId xmlns="http://schemas.microsoft.com/office/infopath/2007/PartnerControls">6aca8364-75f5-4ac2-964e-eb6b180d0dbf</TermId>
        </TermInfo>
        <TermInfo xmlns="http://schemas.microsoft.com/office/infopath/2007/PartnerControls">
          <TermName xmlns="http://schemas.microsoft.com/office/infopath/2007/PartnerControls">Directive</TermName>
          <TermId xmlns="http://schemas.microsoft.com/office/infopath/2007/PartnerControls">c04c02fa-1b50-43c4-b860-4f2050c4ea2c</TermId>
        </TermInfo>
      </Terms>
    </eDocs_FileTopicsTaxHTField0>
    <eDocs_SecurityClassificationTaxHTField0 xmlns="b680c844-d3fb-417f-8163-e4e1c3b2bbc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eDocs_SecurityClassificationTaxHTField0>
    <eDocs_YearTaxHTField0 xmlns="b680c844-d3fb-417f-8163-e4e1c3b2bbc2">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838ad618-661f-45cc-9448-6e00f07e32fb</TermId>
        </TermInfo>
      </Terms>
    </eDocs_YearTaxHTField0>
    <eDocs_DocumentTopicsTaxHTField0 xmlns="b680c844-d3fb-417f-8163-e4e1c3b2bbc2">
      <Terms xmlns="http://schemas.microsoft.com/office/infopath/2007/PartnerControls"/>
    </eDocs_DocumentTopicsTaxHTField0>
    <eDocs_FileStatus xmlns="http://schemas.microsoft.com/sharepoint/v3">Live</eDocs_FileStatus>
    <TaxCatchAll xmlns="1e108339-2bc6-481a-957c-1afccf5104d9">
      <Value>6</Value>
      <Value>5</Value>
      <Value>3</Value>
      <Value>9</Value>
      <Value>1</Value>
    </TaxCatchAll>
    <eDocs_SeriesSubSeriesTaxHTField0 xmlns="b680c844-d3fb-417f-8163-e4e1c3b2bbc2">
      <Terms xmlns="http://schemas.microsoft.com/office/infopath/2007/PartnerControls">
        <TermInfo xmlns="http://schemas.microsoft.com/office/infopath/2007/PartnerControls">
          <TermName xmlns="http://schemas.microsoft.com/office/infopath/2007/PartnerControls">330</TermName>
          <TermId xmlns="http://schemas.microsoft.com/office/infopath/2007/PartnerControls">a011a2bc-7389-4b63-8b55-eb2d563779e5</TermId>
        </TermInfo>
      </Terms>
    </eDocs_SeriesSubSeriesTaxHTField0>
    <eDocs_FileName xmlns="http://schemas.microsoft.com/sharepoint/v3">ENT330-001-2022</eDocs_FileName>
  </documentManagement>
</p:properties>
</file>

<file path=customXml/itemProps1.xml><?xml version="1.0" encoding="utf-8"?>
<ds:datastoreItem xmlns:ds="http://schemas.openxmlformats.org/officeDocument/2006/customXml" ds:itemID="{8213D625-29B3-4454-BB97-8201A2DC28F4}">
  <ds:schemaRefs>
    <ds:schemaRef ds:uri="http://schemas.microsoft.com/sharepoint/v3/contenttype/forms"/>
  </ds:schemaRefs>
</ds:datastoreItem>
</file>

<file path=customXml/itemProps2.xml><?xml version="1.0" encoding="utf-8"?>
<ds:datastoreItem xmlns:ds="http://schemas.openxmlformats.org/officeDocument/2006/customXml" ds:itemID="{46E3D19C-493D-46D2-B2AD-CF5C753B799B}">
  <ds:schemaRefs>
    <ds:schemaRef ds:uri="office.server.policy"/>
  </ds:schemaRefs>
</ds:datastoreItem>
</file>

<file path=customXml/itemProps3.xml><?xml version="1.0" encoding="utf-8"?>
<ds:datastoreItem xmlns:ds="http://schemas.openxmlformats.org/officeDocument/2006/customXml" ds:itemID="{7D420CE4-1259-4C35-9A1D-3A45A6554697}">
  <ds:schemaRefs>
    <ds:schemaRef ds:uri="http://schemas.microsoft.com/sharepoint/events"/>
  </ds:schemaRefs>
</ds:datastoreItem>
</file>

<file path=customXml/itemProps4.xml><?xml version="1.0" encoding="utf-8"?>
<ds:datastoreItem xmlns:ds="http://schemas.openxmlformats.org/officeDocument/2006/customXml" ds:itemID="{89CB89E6-D6B0-4207-9713-DB9EE0A83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80c844-d3fb-417f-8163-e4e1c3b2bbc2"/>
    <ds:schemaRef ds:uri="1e108339-2bc6-481a-957c-1afccf51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FBFC01-B655-465B-9325-E636E90C35B6}">
  <ds:schemaRefs>
    <ds:schemaRef ds:uri="http://schemas.openxmlformats.org/officeDocument/2006/bibliography"/>
  </ds:schemaRefs>
</ds:datastoreItem>
</file>

<file path=customXml/itemProps6.xml><?xml version="1.0" encoding="utf-8"?>
<ds:datastoreItem xmlns:ds="http://schemas.openxmlformats.org/officeDocument/2006/customXml" ds:itemID="{62B95B63-FF7B-43BB-B315-FFEB6E9DD8EC}">
  <ds:schemaRefs>
    <ds:schemaRef ds:uri="http://schemas.microsoft.com/office/2006/metadata/properties"/>
    <ds:schemaRef ds:uri="http://schemas.microsoft.com/office/infopath/2007/PartnerControls"/>
    <ds:schemaRef ds:uri="b680c844-d3fb-417f-8163-e4e1c3b2bbc2"/>
    <ds:schemaRef ds:uri="http://schemas.microsoft.com/sharepoint/v3"/>
    <ds:schemaRef ds:uri="1e108339-2bc6-481a-957c-1afccf5104d9"/>
  </ds:schemaRefs>
</ds:datastoreItem>
</file>

<file path=docProps/app.xml><?xml version="1.0" encoding="utf-8"?>
<Properties xmlns="http://schemas.openxmlformats.org/officeDocument/2006/extended-properties" xmlns:vt="http://schemas.openxmlformats.org/officeDocument/2006/docPropsVTypes">
  <Template>DETE Report Template State Green</Template>
  <TotalTime>1</TotalTime>
  <Pages>1</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Public Consultation on the Corporate Sustainability Reporting Directive</vt:lpstr>
    </vt:vector>
  </TitlesOfParts>
  <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on the Corporate Sustainability Reporting Directive</dc:title>
  <dc:subject/>
  <dc:creator>Orla O'Brien;DETE</dc:creator>
  <cp:keywords/>
  <dc:description/>
  <cp:lastModifiedBy>Miranda Naughton</cp:lastModifiedBy>
  <cp:revision>3</cp:revision>
  <cp:lastPrinted>2023-01-30T15:46:00Z</cp:lastPrinted>
  <dcterms:created xsi:type="dcterms:W3CDTF">2023-01-30T15:53:00Z</dcterms:created>
  <dcterms:modified xsi:type="dcterms:W3CDTF">2023-01-30T15:53:00Z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0x0101000BC94875665D404BB1351B53C41FD2C0002E0BBC2D61EA584EB26E0831EFA58832</vt:lpwstr>
  </property>
  <property fmtid="{D5CDD505-2E9C-101B-9397-08002B2CF9AE}" pid="4" name="eDocs_SecurityClassification">
    <vt:lpwstr>1;#Unclassified|779752a3-a421-4077-839c-91815f544ae2</vt:lpwstr>
  </property>
  <property fmtid="{D5CDD505-2E9C-101B-9397-08002B2CF9AE}" pid="5" name="eDocs_Year">
    <vt:lpwstr>9;#2022|838ad618-661f-45cc-9448-6e00f07e32fb</vt:lpwstr>
  </property>
  <property fmtid="{D5CDD505-2E9C-101B-9397-08002B2CF9AE}" pid="6" name="eDocs_SeriesSubSeries">
    <vt:lpwstr>5;#330|a011a2bc-7389-4b63-8b55-eb2d563779e5</vt:lpwstr>
  </property>
  <property fmtid="{D5CDD505-2E9C-101B-9397-08002B2CF9AE}" pid="7" name="eDocs_FileTopics">
    <vt:lpwstr>3;#EU|6aca8364-75f5-4ac2-964e-eb6b180d0dbf;#6;#Directive|c04c02fa-1b50-43c4-b860-4f2050c4ea2c</vt:lpwstr>
  </property>
  <property fmtid="{D5CDD505-2E9C-101B-9397-08002B2CF9AE}" pid="8" name="eDocs_DocumentTopics">
    <vt:lpwstr/>
  </property>
  <property fmtid="{D5CDD505-2E9C-101B-9397-08002B2CF9AE}" pid="9" name="_dlc_policyId">
    <vt:lpwstr/>
  </property>
  <property fmtid="{D5CDD505-2E9C-101B-9397-08002B2CF9AE}" pid="10" name="ItemRetentionFormula">
    <vt:lpwstr/>
  </property>
  <property fmtid="{D5CDD505-2E9C-101B-9397-08002B2CF9AE}" pid="11" name="_docset_NoMedatataSyncRequired">
    <vt:lpwstr>False</vt:lpwstr>
  </property>
  <property fmtid="{D5CDD505-2E9C-101B-9397-08002B2CF9AE}" pid="12" name="eSub_Attached">
    <vt:lpwstr>Files</vt:lpwstr>
  </property>
</Properties>
</file>