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5F" w:rsidRDefault="003C48B6" w:rsidP="003C48B6">
      <w:pPr>
        <w:spacing w:before="3"/>
        <w:jc w:val="center"/>
        <w:rPr>
          <w:rFonts w:ascii="Calibri" w:eastAsia="Calibri" w:hAnsi="Calibri" w:cs="Calibri"/>
          <w:b/>
          <w:bCs/>
          <w:sz w:val="36"/>
          <w:szCs w:val="36"/>
        </w:rPr>
      </w:pPr>
      <w:r w:rsidRPr="003A50F3">
        <w:rPr>
          <w:rFonts w:ascii="Calibri" w:eastAsia="Calibri" w:hAnsi="Calibri" w:cs="Calibri"/>
          <w:b/>
          <w:bCs/>
          <w:sz w:val="36"/>
          <w:szCs w:val="36"/>
        </w:rPr>
        <w:t>Consultation</w:t>
      </w:r>
      <w:r w:rsidR="002D7742">
        <w:rPr>
          <w:rFonts w:ascii="Calibri" w:eastAsia="Calibri" w:hAnsi="Calibri" w:cs="Calibri"/>
          <w:b/>
          <w:bCs/>
          <w:sz w:val="36"/>
          <w:szCs w:val="36"/>
        </w:rPr>
        <w:t xml:space="preserve"> Paper</w:t>
      </w:r>
      <w:r w:rsidRPr="003A50F3">
        <w:rPr>
          <w:rFonts w:ascii="Calibri" w:eastAsia="Calibri" w:hAnsi="Calibri" w:cs="Calibri"/>
          <w:b/>
          <w:bCs/>
          <w:sz w:val="36"/>
          <w:szCs w:val="36"/>
        </w:rPr>
        <w:t xml:space="preserve"> </w:t>
      </w:r>
    </w:p>
    <w:p w:rsidR="00E26C5F" w:rsidRDefault="003C48B6" w:rsidP="003C48B6">
      <w:pPr>
        <w:spacing w:before="3"/>
        <w:jc w:val="center"/>
        <w:rPr>
          <w:rFonts w:ascii="Calibri" w:eastAsia="Calibri" w:hAnsi="Calibri" w:cs="Calibri"/>
          <w:b/>
          <w:bCs/>
          <w:spacing w:val="-1"/>
          <w:sz w:val="36"/>
          <w:szCs w:val="36"/>
        </w:rPr>
      </w:pPr>
      <w:proofErr w:type="gramStart"/>
      <w:r w:rsidRPr="003A50F3">
        <w:rPr>
          <w:rFonts w:ascii="Calibri" w:eastAsia="Calibri" w:hAnsi="Calibri" w:cs="Calibri"/>
          <w:b/>
          <w:bCs/>
          <w:sz w:val="36"/>
          <w:szCs w:val="36"/>
        </w:rPr>
        <w:t>by</w:t>
      </w:r>
      <w:proofErr w:type="gramEnd"/>
      <w:r w:rsidRPr="003A50F3">
        <w:rPr>
          <w:rFonts w:ascii="Calibri" w:eastAsia="Calibri" w:hAnsi="Calibri" w:cs="Calibri"/>
          <w:b/>
          <w:bCs/>
          <w:sz w:val="36"/>
          <w:szCs w:val="36"/>
        </w:rPr>
        <w:t xml:space="preserve"> </w:t>
      </w:r>
      <w:r w:rsidR="00E26C5F">
        <w:rPr>
          <w:rFonts w:ascii="Calibri" w:eastAsia="Calibri" w:hAnsi="Calibri" w:cs="Calibri"/>
          <w:b/>
          <w:bCs/>
          <w:sz w:val="36"/>
          <w:szCs w:val="36"/>
        </w:rPr>
        <w:t xml:space="preserve">the </w:t>
      </w:r>
      <w:r w:rsidRPr="003A50F3">
        <w:rPr>
          <w:rFonts w:ascii="Calibri" w:eastAsia="Calibri" w:hAnsi="Calibri" w:cs="Calibri"/>
          <w:b/>
          <w:bCs/>
          <w:sz w:val="36"/>
          <w:szCs w:val="36"/>
        </w:rPr>
        <w:t xml:space="preserve">Department of Jobs, Enterprise and Innovation on </w:t>
      </w:r>
      <w:r w:rsidRPr="003A50F3">
        <w:rPr>
          <w:rFonts w:ascii="Calibri" w:eastAsia="Calibri" w:hAnsi="Calibri" w:cs="Calibri"/>
          <w:b/>
          <w:bCs/>
          <w:spacing w:val="-1"/>
          <w:sz w:val="36"/>
          <w:szCs w:val="36"/>
        </w:rPr>
        <w:t xml:space="preserve">Member State Options under </w:t>
      </w:r>
      <w:r w:rsidR="002D7742">
        <w:rPr>
          <w:rFonts w:ascii="Calibri" w:eastAsia="Calibri" w:hAnsi="Calibri" w:cs="Calibri"/>
          <w:b/>
          <w:bCs/>
          <w:spacing w:val="-1"/>
          <w:sz w:val="36"/>
          <w:szCs w:val="36"/>
        </w:rPr>
        <w:t xml:space="preserve">the </w:t>
      </w:r>
    </w:p>
    <w:p w:rsidR="00E26C5F" w:rsidRDefault="003C48B6" w:rsidP="003C48B6">
      <w:pPr>
        <w:spacing w:before="3"/>
        <w:jc w:val="center"/>
        <w:rPr>
          <w:rFonts w:ascii="Calibri" w:eastAsia="Calibri" w:hAnsi="Calibri" w:cs="Calibri"/>
          <w:b/>
          <w:bCs/>
          <w:spacing w:val="-1"/>
          <w:sz w:val="36"/>
          <w:szCs w:val="36"/>
        </w:rPr>
      </w:pPr>
      <w:r w:rsidRPr="003A50F3">
        <w:rPr>
          <w:rFonts w:ascii="Calibri" w:eastAsia="Calibri" w:hAnsi="Calibri" w:cs="Calibri"/>
          <w:b/>
          <w:bCs/>
          <w:sz w:val="36"/>
          <w:szCs w:val="36"/>
        </w:rPr>
        <w:t>Audit</w:t>
      </w:r>
      <w:r w:rsidRPr="003A50F3">
        <w:rPr>
          <w:rFonts w:ascii="Calibri" w:eastAsia="Calibri" w:hAnsi="Calibri" w:cs="Calibri"/>
          <w:b/>
          <w:bCs/>
          <w:spacing w:val="-14"/>
          <w:sz w:val="36"/>
          <w:szCs w:val="36"/>
        </w:rPr>
        <w:t xml:space="preserve"> </w:t>
      </w:r>
      <w:r w:rsidRPr="003A50F3">
        <w:rPr>
          <w:rFonts w:ascii="Calibri" w:eastAsia="Calibri" w:hAnsi="Calibri" w:cs="Calibri"/>
          <w:b/>
          <w:bCs/>
          <w:spacing w:val="-1"/>
          <w:sz w:val="36"/>
          <w:szCs w:val="36"/>
        </w:rPr>
        <w:t xml:space="preserve">Regulation </w:t>
      </w:r>
      <w:r w:rsidR="00E26C5F">
        <w:rPr>
          <w:rFonts w:ascii="Calibri" w:eastAsia="Calibri" w:hAnsi="Calibri" w:cs="Calibri"/>
          <w:b/>
          <w:bCs/>
          <w:spacing w:val="-1"/>
          <w:sz w:val="36"/>
          <w:szCs w:val="36"/>
        </w:rPr>
        <w:t xml:space="preserve">(EU) No 537/2014 </w:t>
      </w:r>
      <w:r w:rsidR="00594426">
        <w:rPr>
          <w:rFonts w:ascii="Calibri" w:eastAsia="Calibri" w:hAnsi="Calibri" w:cs="Calibri"/>
          <w:b/>
          <w:bCs/>
          <w:spacing w:val="-1"/>
          <w:sz w:val="36"/>
          <w:szCs w:val="36"/>
        </w:rPr>
        <w:t xml:space="preserve">and </w:t>
      </w:r>
      <w:r w:rsidR="002D7742">
        <w:rPr>
          <w:rFonts w:ascii="Calibri" w:eastAsia="Calibri" w:hAnsi="Calibri" w:cs="Calibri"/>
          <w:b/>
          <w:bCs/>
          <w:spacing w:val="-1"/>
          <w:sz w:val="36"/>
          <w:szCs w:val="36"/>
        </w:rPr>
        <w:t>the</w:t>
      </w:r>
    </w:p>
    <w:p w:rsidR="003C48B6" w:rsidRPr="003A50F3" w:rsidRDefault="00594426" w:rsidP="003C48B6">
      <w:pPr>
        <w:spacing w:before="3"/>
        <w:jc w:val="center"/>
        <w:rPr>
          <w:spacing w:val="-1"/>
          <w:sz w:val="36"/>
          <w:szCs w:val="36"/>
        </w:rPr>
      </w:pPr>
      <w:r>
        <w:rPr>
          <w:rFonts w:ascii="Calibri" w:eastAsia="Calibri" w:hAnsi="Calibri" w:cs="Calibri"/>
          <w:b/>
          <w:bCs/>
          <w:spacing w:val="-1"/>
          <w:sz w:val="36"/>
          <w:szCs w:val="36"/>
        </w:rPr>
        <w:t xml:space="preserve">Audit Directive </w:t>
      </w:r>
      <w:r w:rsidR="003C48B6" w:rsidRPr="003A50F3">
        <w:rPr>
          <w:rFonts w:ascii="Calibri" w:eastAsia="Calibri" w:hAnsi="Calibri" w:cs="Calibri"/>
          <w:b/>
          <w:bCs/>
          <w:spacing w:val="-1"/>
          <w:sz w:val="36"/>
          <w:szCs w:val="36"/>
        </w:rPr>
        <w:t>2014</w:t>
      </w:r>
      <w:r w:rsidR="00E26C5F">
        <w:rPr>
          <w:rFonts w:ascii="Calibri" w:eastAsia="Calibri" w:hAnsi="Calibri" w:cs="Calibri"/>
          <w:b/>
          <w:bCs/>
          <w:spacing w:val="-1"/>
          <w:sz w:val="36"/>
          <w:szCs w:val="36"/>
        </w:rPr>
        <w:t>/56/EU</w:t>
      </w:r>
    </w:p>
    <w:p w:rsidR="003C48B6" w:rsidRDefault="003C48B6" w:rsidP="003C48B6">
      <w:pPr>
        <w:jc w:val="both"/>
        <w:rPr>
          <w:rFonts w:eastAsia="Times New Roman" w:cs="Times New Roman"/>
          <w:b/>
          <w:sz w:val="20"/>
          <w:szCs w:val="20"/>
        </w:rPr>
      </w:pPr>
    </w:p>
    <w:p w:rsidR="003C48B6" w:rsidRDefault="003C48B6" w:rsidP="003C48B6">
      <w:pPr>
        <w:jc w:val="both"/>
        <w:rPr>
          <w:rFonts w:eastAsia="Times New Roman" w:cs="Times New Roman"/>
          <w:b/>
          <w:sz w:val="20"/>
          <w:szCs w:val="20"/>
        </w:rPr>
      </w:pPr>
    </w:p>
    <w:p w:rsidR="003C48B6" w:rsidRPr="00EE69C2" w:rsidRDefault="003C48B6" w:rsidP="00F61CDD">
      <w:pPr>
        <w:jc w:val="both"/>
        <w:rPr>
          <w:rFonts w:eastAsia="Times New Roman" w:cs="Times New Roman"/>
          <w:b/>
          <w:sz w:val="24"/>
          <w:szCs w:val="24"/>
        </w:rPr>
      </w:pPr>
      <w:r w:rsidRPr="00EE69C2">
        <w:rPr>
          <w:rFonts w:eastAsia="Times New Roman" w:cs="Times New Roman"/>
          <w:b/>
          <w:sz w:val="24"/>
          <w:szCs w:val="24"/>
        </w:rPr>
        <w:t>Subject of the Public Consultation</w:t>
      </w:r>
    </w:p>
    <w:p w:rsidR="00F61CDD" w:rsidRPr="00EE69C2" w:rsidRDefault="003C48B6" w:rsidP="00F61CDD">
      <w:pPr>
        <w:jc w:val="both"/>
        <w:rPr>
          <w:rFonts w:eastAsia="Times New Roman" w:cs="Times New Roman"/>
          <w:sz w:val="24"/>
          <w:szCs w:val="24"/>
        </w:rPr>
      </w:pPr>
      <w:r w:rsidRPr="00EE69C2">
        <w:rPr>
          <w:rFonts w:eastAsia="Times New Roman" w:cs="Times New Roman"/>
          <w:sz w:val="24"/>
          <w:szCs w:val="24"/>
        </w:rPr>
        <w:t xml:space="preserve">The Department of Jobs, Enterprise and Innovation is seeking the views of interested parties on </w:t>
      </w:r>
      <w:r w:rsidR="00F61CDD" w:rsidRPr="00EE69C2">
        <w:rPr>
          <w:rFonts w:eastAsia="Times New Roman" w:cs="Times New Roman"/>
          <w:sz w:val="24"/>
          <w:szCs w:val="24"/>
        </w:rPr>
        <w:t>-</w:t>
      </w:r>
    </w:p>
    <w:p w:rsidR="003C48B6" w:rsidRPr="00EE69C2" w:rsidRDefault="003C48B6" w:rsidP="00F61CDD">
      <w:pPr>
        <w:pStyle w:val="ListParagraph"/>
        <w:numPr>
          <w:ilvl w:val="0"/>
          <w:numId w:val="2"/>
        </w:numPr>
        <w:jc w:val="both"/>
        <w:rPr>
          <w:rFonts w:eastAsia="Times New Roman" w:cs="Times New Roman"/>
          <w:sz w:val="24"/>
          <w:szCs w:val="24"/>
        </w:rPr>
      </w:pPr>
      <w:r w:rsidRPr="00EE69C2">
        <w:rPr>
          <w:rFonts w:eastAsia="Times New Roman" w:cs="Times New Roman"/>
          <w:sz w:val="24"/>
          <w:szCs w:val="24"/>
        </w:rPr>
        <w:t xml:space="preserve">the </w:t>
      </w:r>
      <w:r w:rsidRPr="00EE69C2">
        <w:rPr>
          <w:rFonts w:eastAsia="Times New Roman" w:cs="Times New Roman"/>
          <w:b/>
          <w:sz w:val="24"/>
          <w:szCs w:val="24"/>
        </w:rPr>
        <w:t>use of Member State options</w:t>
      </w:r>
      <w:r w:rsidRPr="00EE69C2">
        <w:rPr>
          <w:rFonts w:eastAsia="Times New Roman" w:cs="Times New Roman"/>
          <w:sz w:val="24"/>
          <w:szCs w:val="24"/>
        </w:rPr>
        <w:t xml:space="preserve"> under </w:t>
      </w:r>
      <w:r w:rsidRPr="00EE69C2">
        <w:rPr>
          <w:rFonts w:eastAsia="Times New Roman" w:cs="Times New Roman"/>
          <w:b/>
          <w:sz w:val="24"/>
          <w:szCs w:val="24"/>
        </w:rPr>
        <w:t>Regulation (EU) No 537/2014</w:t>
      </w:r>
      <w:r w:rsidRPr="00EE69C2">
        <w:rPr>
          <w:rFonts w:eastAsia="Times New Roman" w:cs="Times New Roman"/>
          <w:sz w:val="24"/>
          <w:szCs w:val="24"/>
        </w:rPr>
        <w:t xml:space="preserve"> of the European Parliament and of the Council of 16 April 2014 on </w:t>
      </w:r>
      <w:r w:rsidRPr="00EE69C2">
        <w:rPr>
          <w:rFonts w:eastAsia="Times New Roman" w:cs="Times New Roman"/>
          <w:b/>
          <w:i/>
          <w:sz w:val="24"/>
          <w:szCs w:val="24"/>
        </w:rPr>
        <w:t>specific requirements regarding statutory audit of public-interest entities</w:t>
      </w:r>
      <w:r w:rsidRPr="00EE69C2">
        <w:rPr>
          <w:rFonts w:eastAsia="Times New Roman" w:cs="Times New Roman"/>
          <w:sz w:val="24"/>
          <w:szCs w:val="24"/>
        </w:rPr>
        <w:t xml:space="preserve"> and repealing </w:t>
      </w:r>
      <w:r w:rsidR="006B257A" w:rsidRPr="00EE69C2">
        <w:rPr>
          <w:rFonts w:eastAsia="Times New Roman" w:cs="Times New Roman"/>
          <w:sz w:val="24"/>
          <w:szCs w:val="24"/>
        </w:rPr>
        <w:t xml:space="preserve">Commission Decision 2005/909/EC, </w:t>
      </w:r>
    </w:p>
    <w:p w:rsidR="006B257A" w:rsidRPr="00EE69C2" w:rsidRDefault="006B257A" w:rsidP="00F61CDD">
      <w:pPr>
        <w:pStyle w:val="ListParagraph"/>
        <w:numPr>
          <w:ilvl w:val="0"/>
          <w:numId w:val="2"/>
        </w:numPr>
        <w:jc w:val="both"/>
        <w:rPr>
          <w:rFonts w:eastAsia="Times New Roman" w:cs="Times New Roman"/>
          <w:sz w:val="24"/>
          <w:szCs w:val="24"/>
        </w:rPr>
      </w:pPr>
      <w:r w:rsidRPr="00EE69C2">
        <w:rPr>
          <w:rFonts w:eastAsia="Times New Roman" w:cs="Times New Roman"/>
          <w:sz w:val="24"/>
          <w:szCs w:val="24"/>
        </w:rPr>
        <w:t xml:space="preserve">the </w:t>
      </w:r>
      <w:r w:rsidRPr="00EE69C2">
        <w:rPr>
          <w:rFonts w:eastAsia="Times New Roman" w:cs="Times New Roman"/>
          <w:b/>
          <w:sz w:val="24"/>
          <w:szCs w:val="24"/>
        </w:rPr>
        <w:t>use of Member State options</w:t>
      </w:r>
      <w:r w:rsidRPr="00EE69C2">
        <w:rPr>
          <w:rFonts w:eastAsia="Times New Roman" w:cs="Times New Roman"/>
          <w:sz w:val="24"/>
          <w:szCs w:val="24"/>
        </w:rPr>
        <w:t xml:space="preserve"> under </w:t>
      </w:r>
      <w:r w:rsidRPr="00EE69C2">
        <w:rPr>
          <w:rFonts w:eastAsia="Times New Roman" w:cs="Times New Roman"/>
          <w:b/>
          <w:sz w:val="24"/>
          <w:szCs w:val="24"/>
        </w:rPr>
        <w:t>Directive 2014/56/EU</w:t>
      </w:r>
      <w:r w:rsidRPr="00EE69C2">
        <w:rPr>
          <w:rFonts w:eastAsia="Times New Roman" w:cs="Times New Roman"/>
          <w:sz w:val="24"/>
          <w:szCs w:val="24"/>
        </w:rPr>
        <w:t xml:space="preserve"> of the European Parliament and of the Council of 16 April 2014 amending Directive 2006/43/EC on </w:t>
      </w:r>
      <w:r w:rsidRPr="00EE69C2">
        <w:rPr>
          <w:rFonts w:eastAsia="Times New Roman" w:cs="Times New Roman"/>
          <w:b/>
          <w:i/>
          <w:sz w:val="24"/>
          <w:szCs w:val="24"/>
        </w:rPr>
        <w:t>statutory audits of annual accounts and consolidated accounts</w:t>
      </w:r>
      <w:r w:rsidRPr="00EE69C2">
        <w:rPr>
          <w:rFonts w:eastAsia="Times New Roman" w:cs="Times New Roman"/>
          <w:sz w:val="24"/>
          <w:szCs w:val="24"/>
        </w:rPr>
        <w:t>,</w:t>
      </w:r>
    </w:p>
    <w:p w:rsidR="006B257A" w:rsidRPr="00EE69C2" w:rsidRDefault="004D44DF" w:rsidP="00F61CDD">
      <w:pPr>
        <w:pStyle w:val="ListParagraph"/>
        <w:numPr>
          <w:ilvl w:val="0"/>
          <w:numId w:val="2"/>
        </w:numPr>
        <w:jc w:val="both"/>
        <w:rPr>
          <w:rFonts w:eastAsia="Times New Roman" w:cs="Times New Roman"/>
          <w:sz w:val="24"/>
          <w:szCs w:val="24"/>
        </w:rPr>
      </w:pPr>
      <w:r w:rsidRPr="00EE69C2">
        <w:rPr>
          <w:rFonts w:eastAsia="Times New Roman" w:cs="Times New Roman"/>
          <w:b/>
          <w:i/>
          <w:sz w:val="24"/>
          <w:szCs w:val="24"/>
        </w:rPr>
        <w:t>cost/benefits</w:t>
      </w:r>
      <w:r w:rsidRPr="00EE69C2">
        <w:rPr>
          <w:rFonts w:eastAsia="Times New Roman" w:cs="Times New Roman"/>
          <w:sz w:val="24"/>
          <w:szCs w:val="24"/>
        </w:rPr>
        <w:t xml:space="preserve"> of</w:t>
      </w:r>
      <w:r w:rsidR="00921A1F" w:rsidRPr="00EE69C2">
        <w:rPr>
          <w:rFonts w:eastAsia="Times New Roman" w:cs="Times New Roman"/>
          <w:sz w:val="24"/>
          <w:szCs w:val="24"/>
        </w:rPr>
        <w:t xml:space="preserve"> the options or any other provision</w:t>
      </w:r>
      <w:r w:rsidRPr="00EE69C2">
        <w:rPr>
          <w:rFonts w:eastAsia="Times New Roman" w:cs="Times New Roman"/>
          <w:sz w:val="24"/>
          <w:szCs w:val="24"/>
        </w:rPr>
        <w:t xml:space="preserve"> </w:t>
      </w:r>
      <w:r w:rsidR="00921A1F" w:rsidRPr="00EE69C2">
        <w:rPr>
          <w:rFonts w:eastAsia="Times New Roman" w:cs="Times New Roman"/>
          <w:sz w:val="24"/>
          <w:szCs w:val="24"/>
        </w:rPr>
        <w:t xml:space="preserve">of the Regulation/Directive, </w:t>
      </w:r>
    </w:p>
    <w:p w:rsidR="00BF7836" w:rsidRPr="00EE69C2" w:rsidRDefault="007A4F36" w:rsidP="00F61CDD">
      <w:pPr>
        <w:pStyle w:val="ListParagraph"/>
        <w:numPr>
          <w:ilvl w:val="0"/>
          <w:numId w:val="2"/>
        </w:numPr>
        <w:jc w:val="both"/>
        <w:rPr>
          <w:rFonts w:eastAsia="Times New Roman" w:cs="Times New Roman"/>
          <w:sz w:val="24"/>
          <w:szCs w:val="24"/>
        </w:rPr>
      </w:pPr>
      <w:r>
        <w:rPr>
          <w:rFonts w:eastAsia="Times New Roman" w:cs="Times New Roman"/>
          <w:sz w:val="24"/>
          <w:szCs w:val="24"/>
        </w:rPr>
        <w:t>d</w:t>
      </w:r>
      <w:r w:rsidR="00BF7836" w:rsidRPr="00EE69C2">
        <w:rPr>
          <w:rFonts w:eastAsia="Times New Roman" w:cs="Times New Roman"/>
          <w:sz w:val="24"/>
          <w:szCs w:val="24"/>
        </w:rPr>
        <w:t xml:space="preserve">ifficulties of </w:t>
      </w:r>
      <w:r w:rsidR="00BF7836" w:rsidRPr="00EE69C2">
        <w:rPr>
          <w:rFonts w:eastAsia="Times New Roman" w:cs="Times New Roman"/>
          <w:b/>
          <w:i/>
          <w:sz w:val="24"/>
          <w:szCs w:val="24"/>
        </w:rPr>
        <w:t>legal interpretation</w:t>
      </w:r>
    </w:p>
    <w:p w:rsidR="00921A1F" w:rsidRPr="00EE69C2" w:rsidRDefault="004D44DF" w:rsidP="00F61CDD">
      <w:pPr>
        <w:pStyle w:val="ListParagraph"/>
        <w:numPr>
          <w:ilvl w:val="0"/>
          <w:numId w:val="2"/>
        </w:numPr>
        <w:jc w:val="both"/>
        <w:rPr>
          <w:rFonts w:eastAsia="Times New Roman" w:cs="Times New Roman"/>
          <w:sz w:val="24"/>
          <w:szCs w:val="24"/>
        </w:rPr>
      </w:pPr>
      <w:r w:rsidRPr="00EE69C2">
        <w:rPr>
          <w:rFonts w:eastAsia="Times New Roman" w:cs="Times New Roman"/>
          <w:b/>
          <w:i/>
          <w:sz w:val="24"/>
          <w:szCs w:val="24"/>
        </w:rPr>
        <w:t xml:space="preserve">practical </w:t>
      </w:r>
      <w:r w:rsidR="00D53EB9" w:rsidRPr="00EE69C2">
        <w:rPr>
          <w:rFonts w:eastAsia="Times New Roman" w:cs="Times New Roman"/>
          <w:b/>
          <w:i/>
          <w:sz w:val="24"/>
          <w:szCs w:val="24"/>
        </w:rPr>
        <w:t>operability issues</w:t>
      </w:r>
      <w:r w:rsidR="00921A1F" w:rsidRPr="00EE69C2">
        <w:rPr>
          <w:rFonts w:eastAsia="Times New Roman" w:cs="Times New Roman"/>
          <w:sz w:val="24"/>
          <w:szCs w:val="24"/>
        </w:rPr>
        <w:t>, and</w:t>
      </w:r>
    </w:p>
    <w:p w:rsidR="00921A1F" w:rsidRPr="00EE69C2" w:rsidRDefault="00921A1F" w:rsidP="00F61CDD">
      <w:pPr>
        <w:pStyle w:val="ListParagraph"/>
        <w:numPr>
          <w:ilvl w:val="0"/>
          <w:numId w:val="2"/>
        </w:numPr>
        <w:jc w:val="both"/>
        <w:rPr>
          <w:rFonts w:eastAsia="Times New Roman" w:cs="Times New Roman"/>
          <w:sz w:val="24"/>
          <w:szCs w:val="24"/>
        </w:rPr>
      </w:pPr>
      <w:proofErr w:type="gramStart"/>
      <w:r w:rsidRPr="00EE69C2">
        <w:rPr>
          <w:rFonts w:eastAsia="Times New Roman" w:cs="Times New Roman"/>
          <w:b/>
          <w:i/>
          <w:sz w:val="24"/>
          <w:szCs w:val="24"/>
        </w:rPr>
        <w:t>any</w:t>
      </w:r>
      <w:proofErr w:type="gramEnd"/>
      <w:r w:rsidRPr="00EE69C2">
        <w:rPr>
          <w:rFonts w:eastAsia="Times New Roman" w:cs="Times New Roman"/>
          <w:b/>
          <w:i/>
          <w:sz w:val="24"/>
          <w:szCs w:val="24"/>
        </w:rPr>
        <w:t xml:space="preserve"> </w:t>
      </w:r>
      <w:r w:rsidR="00D53EB9" w:rsidRPr="00EE69C2">
        <w:rPr>
          <w:rFonts w:eastAsia="Times New Roman" w:cs="Times New Roman"/>
          <w:b/>
          <w:i/>
          <w:sz w:val="24"/>
          <w:szCs w:val="24"/>
        </w:rPr>
        <w:t xml:space="preserve">other </w:t>
      </w:r>
      <w:r w:rsidRPr="00EE69C2">
        <w:rPr>
          <w:rFonts w:eastAsia="Times New Roman" w:cs="Times New Roman"/>
          <w:b/>
          <w:i/>
          <w:sz w:val="24"/>
          <w:szCs w:val="24"/>
        </w:rPr>
        <w:t>aspect</w:t>
      </w:r>
      <w:r w:rsidRPr="00EE69C2">
        <w:rPr>
          <w:rFonts w:eastAsia="Times New Roman" w:cs="Times New Roman"/>
          <w:sz w:val="24"/>
          <w:szCs w:val="24"/>
        </w:rPr>
        <w:t xml:space="preserve"> of the Regulation/Directive that you may wish to raise.</w:t>
      </w:r>
    </w:p>
    <w:p w:rsidR="004D44DF" w:rsidRPr="00EE69C2" w:rsidRDefault="004D44DF" w:rsidP="00F61CDD">
      <w:pPr>
        <w:pStyle w:val="ListParagraph"/>
        <w:ind w:left="1080"/>
        <w:jc w:val="both"/>
        <w:rPr>
          <w:rFonts w:eastAsia="Times New Roman" w:cs="Times New Roman"/>
          <w:sz w:val="24"/>
          <w:szCs w:val="24"/>
        </w:rPr>
      </w:pPr>
    </w:p>
    <w:p w:rsidR="003C48B6" w:rsidRPr="00EE69C2" w:rsidRDefault="003C48B6" w:rsidP="00F61CDD">
      <w:pPr>
        <w:jc w:val="both"/>
        <w:rPr>
          <w:rFonts w:eastAsia="Times New Roman" w:cs="Times New Roman"/>
          <w:sz w:val="24"/>
          <w:szCs w:val="24"/>
        </w:rPr>
      </w:pPr>
    </w:p>
    <w:p w:rsidR="003C48B6" w:rsidRPr="00EE69C2" w:rsidRDefault="003C48B6" w:rsidP="00F61CDD">
      <w:pPr>
        <w:jc w:val="both"/>
        <w:rPr>
          <w:rFonts w:eastAsia="Times New Roman" w:cs="Times New Roman"/>
          <w:b/>
          <w:sz w:val="24"/>
          <w:szCs w:val="24"/>
        </w:rPr>
      </w:pPr>
      <w:r w:rsidRPr="00EE69C2">
        <w:rPr>
          <w:rFonts w:eastAsia="Times New Roman" w:cs="Times New Roman"/>
          <w:b/>
          <w:sz w:val="24"/>
          <w:szCs w:val="24"/>
        </w:rPr>
        <w:t>Background to the Regulation</w:t>
      </w:r>
      <w:r w:rsidR="00C35F71" w:rsidRPr="00EE69C2">
        <w:rPr>
          <w:rFonts w:eastAsia="Times New Roman" w:cs="Times New Roman"/>
          <w:b/>
          <w:sz w:val="24"/>
          <w:szCs w:val="24"/>
        </w:rPr>
        <w:t>/Directive</w:t>
      </w:r>
    </w:p>
    <w:p w:rsidR="003C48B6" w:rsidRPr="00EE69C2" w:rsidRDefault="003C48B6" w:rsidP="00F61CDD">
      <w:pPr>
        <w:jc w:val="both"/>
        <w:rPr>
          <w:sz w:val="24"/>
          <w:szCs w:val="24"/>
        </w:rPr>
      </w:pPr>
      <w:r w:rsidRPr="00EE69C2">
        <w:rPr>
          <w:sz w:val="24"/>
          <w:szCs w:val="24"/>
        </w:rPr>
        <w:t xml:space="preserve">In the wake of the international financial crisis the European Commission brought forward proposals for an Audit Regulation and a Directive in December 2011 with the general aim of </w:t>
      </w:r>
    </w:p>
    <w:p w:rsidR="003C48B6" w:rsidRPr="00EE69C2" w:rsidRDefault="003C48B6" w:rsidP="00F61CDD">
      <w:pPr>
        <w:pStyle w:val="ListParagraph"/>
        <w:numPr>
          <w:ilvl w:val="0"/>
          <w:numId w:val="1"/>
        </w:numPr>
        <w:autoSpaceDE w:val="0"/>
        <w:autoSpaceDN w:val="0"/>
        <w:adjustRightInd w:val="0"/>
        <w:jc w:val="both"/>
        <w:rPr>
          <w:sz w:val="24"/>
          <w:szCs w:val="24"/>
        </w:rPr>
      </w:pPr>
      <w:r w:rsidRPr="00EE69C2">
        <w:rPr>
          <w:sz w:val="24"/>
          <w:szCs w:val="24"/>
        </w:rPr>
        <w:t xml:space="preserve">strengthening the independence of auditors </w:t>
      </w:r>
    </w:p>
    <w:p w:rsidR="003C48B6" w:rsidRPr="00EE69C2" w:rsidRDefault="003C48B6" w:rsidP="00F61CDD">
      <w:pPr>
        <w:pStyle w:val="ListParagraph"/>
        <w:numPr>
          <w:ilvl w:val="0"/>
          <w:numId w:val="1"/>
        </w:numPr>
        <w:autoSpaceDE w:val="0"/>
        <w:autoSpaceDN w:val="0"/>
        <w:adjustRightInd w:val="0"/>
        <w:jc w:val="both"/>
        <w:rPr>
          <w:sz w:val="24"/>
          <w:szCs w:val="24"/>
        </w:rPr>
      </w:pPr>
      <w:r w:rsidRPr="00EE69C2">
        <w:rPr>
          <w:sz w:val="24"/>
          <w:szCs w:val="24"/>
        </w:rPr>
        <w:t>introducing greater diversity into the audit market</w:t>
      </w:r>
    </w:p>
    <w:p w:rsidR="003C48B6" w:rsidRPr="00EE69C2" w:rsidRDefault="003C48B6" w:rsidP="00F61CDD">
      <w:pPr>
        <w:pStyle w:val="ListParagraph"/>
        <w:numPr>
          <w:ilvl w:val="0"/>
          <w:numId w:val="1"/>
        </w:numPr>
        <w:autoSpaceDE w:val="0"/>
        <w:autoSpaceDN w:val="0"/>
        <w:adjustRightInd w:val="0"/>
        <w:jc w:val="both"/>
        <w:rPr>
          <w:sz w:val="24"/>
          <w:szCs w:val="24"/>
        </w:rPr>
      </w:pPr>
      <w:r w:rsidRPr="00EE69C2">
        <w:rPr>
          <w:sz w:val="24"/>
          <w:szCs w:val="24"/>
        </w:rPr>
        <w:t>creating a Single Market for statutory audit services allowing auditors to exercise their profession freely and easily across Europe, once approved in one Member State</w:t>
      </w:r>
    </w:p>
    <w:p w:rsidR="003C48B6" w:rsidRPr="00EE69C2" w:rsidRDefault="003C48B6" w:rsidP="00F61CDD">
      <w:pPr>
        <w:pStyle w:val="ListParagraph"/>
        <w:numPr>
          <w:ilvl w:val="0"/>
          <w:numId w:val="1"/>
        </w:numPr>
        <w:autoSpaceDE w:val="0"/>
        <w:autoSpaceDN w:val="0"/>
        <w:adjustRightInd w:val="0"/>
        <w:jc w:val="both"/>
        <w:rPr>
          <w:sz w:val="24"/>
          <w:szCs w:val="24"/>
        </w:rPr>
      </w:pPr>
      <w:proofErr w:type="gramStart"/>
      <w:r w:rsidRPr="00EE69C2">
        <w:rPr>
          <w:sz w:val="24"/>
          <w:szCs w:val="24"/>
        </w:rPr>
        <w:t>introducing</w:t>
      </w:r>
      <w:proofErr w:type="gramEnd"/>
      <w:r w:rsidRPr="00EE69C2">
        <w:rPr>
          <w:sz w:val="24"/>
          <w:szCs w:val="24"/>
        </w:rPr>
        <w:t xml:space="preserve"> a strengthened and more coordinated approach to the supervision of auditors in the EU. </w:t>
      </w:r>
    </w:p>
    <w:p w:rsidR="003C48B6" w:rsidRPr="00EE69C2" w:rsidRDefault="003C48B6" w:rsidP="00F61CDD">
      <w:pPr>
        <w:jc w:val="both"/>
        <w:rPr>
          <w:rFonts w:eastAsia="Times New Roman" w:cs="Times New Roman"/>
          <w:sz w:val="24"/>
          <w:szCs w:val="24"/>
        </w:rPr>
      </w:pPr>
    </w:p>
    <w:p w:rsidR="00C35F71" w:rsidRPr="00EE69C2" w:rsidRDefault="003C48B6" w:rsidP="00F61CDD">
      <w:pPr>
        <w:jc w:val="both"/>
        <w:rPr>
          <w:noProof/>
          <w:sz w:val="24"/>
          <w:szCs w:val="24"/>
        </w:rPr>
      </w:pPr>
      <w:r w:rsidRPr="00EE69C2">
        <w:rPr>
          <w:noProof/>
          <w:sz w:val="24"/>
          <w:szCs w:val="24"/>
        </w:rPr>
        <w:t>The Audit Regulation is directed at Public-Interest Entities (PIE</w:t>
      </w:r>
      <w:r w:rsidR="00FB0A80" w:rsidRPr="00EE69C2">
        <w:rPr>
          <w:noProof/>
          <w:sz w:val="24"/>
          <w:szCs w:val="24"/>
        </w:rPr>
        <w:t>s</w:t>
      </w:r>
      <w:r w:rsidRPr="00EE69C2">
        <w:rPr>
          <w:noProof/>
          <w:sz w:val="24"/>
          <w:szCs w:val="24"/>
        </w:rPr>
        <w:t>), entities which are of significant public interest because of their business, their size, their number of employees or their corporate status is such that they have a wide range of stakeholders. The category of PIE encompasses systemically important entities such as credit institutions</w:t>
      </w:r>
      <w:r w:rsidR="00D53EB9" w:rsidRPr="00EE69C2">
        <w:rPr>
          <w:noProof/>
          <w:sz w:val="24"/>
          <w:szCs w:val="24"/>
        </w:rPr>
        <w:t xml:space="preserve"> and</w:t>
      </w:r>
      <w:r w:rsidRPr="00EE69C2">
        <w:rPr>
          <w:noProof/>
          <w:sz w:val="24"/>
          <w:szCs w:val="24"/>
        </w:rPr>
        <w:t xml:space="preserve"> insurance undertakings</w:t>
      </w:r>
      <w:r w:rsidR="009D1FE8" w:rsidRPr="00EE69C2">
        <w:rPr>
          <w:noProof/>
          <w:sz w:val="24"/>
          <w:szCs w:val="24"/>
        </w:rPr>
        <w:t xml:space="preserve"> many of which featured in the financial crisis</w:t>
      </w:r>
      <w:r w:rsidR="00D53EB9" w:rsidRPr="00EE69C2">
        <w:rPr>
          <w:noProof/>
          <w:sz w:val="24"/>
          <w:szCs w:val="24"/>
        </w:rPr>
        <w:t xml:space="preserve">.  Listed companies are </w:t>
      </w:r>
      <w:r w:rsidR="00F61CDD" w:rsidRPr="00EE69C2">
        <w:rPr>
          <w:noProof/>
          <w:sz w:val="24"/>
          <w:szCs w:val="24"/>
        </w:rPr>
        <w:t xml:space="preserve">also </w:t>
      </w:r>
      <w:r w:rsidR="00D53EB9" w:rsidRPr="00EE69C2">
        <w:rPr>
          <w:noProof/>
          <w:sz w:val="24"/>
          <w:szCs w:val="24"/>
        </w:rPr>
        <w:t>classifi</w:t>
      </w:r>
      <w:r w:rsidR="00F61CDD" w:rsidRPr="00EE69C2">
        <w:rPr>
          <w:noProof/>
          <w:sz w:val="24"/>
          <w:szCs w:val="24"/>
        </w:rPr>
        <w:t>able</w:t>
      </w:r>
      <w:r w:rsidR="00D53EB9" w:rsidRPr="00EE69C2">
        <w:rPr>
          <w:noProof/>
          <w:sz w:val="24"/>
          <w:szCs w:val="24"/>
        </w:rPr>
        <w:t xml:space="preserve"> as PIEs</w:t>
      </w:r>
      <w:r w:rsidRPr="00EE69C2">
        <w:rPr>
          <w:noProof/>
          <w:sz w:val="24"/>
          <w:szCs w:val="24"/>
        </w:rPr>
        <w:t xml:space="preserve">.  </w:t>
      </w:r>
    </w:p>
    <w:p w:rsidR="00D53EB9" w:rsidRPr="00EE69C2" w:rsidRDefault="00D53EB9" w:rsidP="00F61CDD">
      <w:pPr>
        <w:jc w:val="both"/>
        <w:rPr>
          <w:noProof/>
          <w:sz w:val="24"/>
          <w:szCs w:val="24"/>
        </w:rPr>
      </w:pPr>
    </w:p>
    <w:p w:rsidR="00A10474" w:rsidRPr="00EE69C2" w:rsidRDefault="00A10474" w:rsidP="00F61CDD">
      <w:pPr>
        <w:jc w:val="both"/>
        <w:rPr>
          <w:sz w:val="24"/>
          <w:szCs w:val="24"/>
        </w:rPr>
      </w:pPr>
      <w:r w:rsidRPr="00EE69C2">
        <w:rPr>
          <w:noProof/>
          <w:sz w:val="24"/>
          <w:szCs w:val="24"/>
        </w:rPr>
        <w:t xml:space="preserve">The Audit Directive is aimed at improving audit quality and includes measures to strengthen the independence of statutory auditors, make the audit report more informative, and strenghten audit supervision throughout the EU.  It contains amendments to augment the provisions of the Statutory Audit Directive </w:t>
      </w:r>
      <w:r w:rsidRPr="00EE69C2">
        <w:rPr>
          <w:sz w:val="24"/>
          <w:szCs w:val="24"/>
        </w:rPr>
        <w:t>(2006/43/EC) which was transposed into Irish law by S.I. No. 220 of 2010.</w:t>
      </w:r>
    </w:p>
    <w:p w:rsidR="003C48B6" w:rsidRPr="00EE69C2" w:rsidRDefault="003C48B6" w:rsidP="00F61CDD">
      <w:pPr>
        <w:jc w:val="both"/>
        <w:rPr>
          <w:rFonts w:eastAsia="Times New Roman" w:cs="Times New Roman"/>
          <w:b/>
          <w:sz w:val="24"/>
          <w:szCs w:val="24"/>
        </w:rPr>
      </w:pPr>
      <w:r w:rsidRPr="00EE69C2">
        <w:rPr>
          <w:rFonts w:eastAsia="Times New Roman" w:cs="Times New Roman"/>
          <w:b/>
          <w:sz w:val="24"/>
          <w:szCs w:val="24"/>
        </w:rPr>
        <w:lastRenderedPageBreak/>
        <w:t>Approach to the Consultation</w:t>
      </w:r>
    </w:p>
    <w:p w:rsidR="003C48B6" w:rsidRPr="00EE69C2" w:rsidRDefault="003C48B6" w:rsidP="00F61CDD">
      <w:pPr>
        <w:jc w:val="both"/>
        <w:rPr>
          <w:rFonts w:eastAsia="Times New Roman" w:cs="Times New Roman"/>
          <w:sz w:val="24"/>
          <w:szCs w:val="24"/>
        </w:rPr>
      </w:pPr>
      <w:r w:rsidRPr="00EE69C2">
        <w:rPr>
          <w:rFonts w:eastAsia="Times New Roman" w:cs="Times New Roman"/>
          <w:sz w:val="24"/>
          <w:szCs w:val="24"/>
        </w:rPr>
        <w:t xml:space="preserve">The Department of Jobs, Enterprise and Innovation is </w:t>
      </w:r>
      <w:r w:rsidR="00D53EB9" w:rsidRPr="00EE69C2">
        <w:rPr>
          <w:rFonts w:eastAsia="Times New Roman" w:cs="Times New Roman"/>
          <w:sz w:val="24"/>
          <w:szCs w:val="24"/>
        </w:rPr>
        <w:t>specifically canvassing the views of interested parties with regard to</w:t>
      </w:r>
      <w:r w:rsidRPr="00EE69C2">
        <w:rPr>
          <w:rFonts w:eastAsia="Times New Roman" w:cs="Times New Roman"/>
          <w:sz w:val="24"/>
          <w:szCs w:val="24"/>
        </w:rPr>
        <w:t xml:space="preserve"> Member State options</w:t>
      </w:r>
      <w:r w:rsidR="00D53EB9" w:rsidRPr="00EE69C2">
        <w:rPr>
          <w:rFonts w:eastAsia="Times New Roman" w:cs="Times New Roman"/>
          <w:sz w:val="24"/>
          <w:szCs w:val="24"/>
        </w:rPr>
        <w:t xml:space="preserve"> contained in these two measures</w:t>
      </w:r>
      <w:r w:rsidRPr="00EE69C2">
        <w:rPr>
          <w:rFonts w:eastAsia="Times New Roman" w:cs="Times New Roman"/>
          <w:sz w:val="24"/>
          <w:szCs w:val="24"/>
        </w:rPr>
        <w:t xml:space="preserve">.   It is </w:t>
      </w:r>
      <w:r w:rsidRPr="007A4F36">
        <w:rPr>
          <w:rFonts w:eastAsia="Times New Roman" w:cs="Times New Roman"/>
          <w:b/>
          <w:sz w:val="24"/>
          <w:szCs w:val="24"/>
        </w:rPr>
        <w:t xml:space="preserve">not </w:t>
      </w:r>
      <w:r w:rsidRPr="00EE69C2">
        <w:rPr>
          <w:rFonts w:eastAsia="Times New Roman" w:cs="Times New Roman"/>
          <w:b/>
          <w:sz w:val="24"/>
          <w:szCs w:val="24"/>
        </w:rPr>
        <w:t>consulting</w:t>
      </w:r>
      <w:r w:rsidRPr="00EE69C2">
        <w:rPr>
          <w:rFonts w:eastAsia="Times New Roman" w:cs="Times New Roman"/>
          <w:sz w:val="24"/>
          <w:szCs w:val="24"/>
        </w:rPr>
        <w:t xml:space="preserve"> on the balance of the Regulation</w:t>
      </w:r>
      <w:r w:rsidR="003A2C7C" w:rsidRPr="00EE69C2">
        <w:rPr>
          <w:rFonts w:eastAsia="Times New Roman" w:cs="Times New Roman"/>
          <w:sz w:val="24"/>
          <w:szCs w:val="24"/>
        </w:rPr>
        <w:t>/Directive</w:t>
      </w:r>
      <w:r w:rsidRPr="00EE69C2">
        <w:rPr>
          <w:rFonts w:eastAsia="Times New Roman" w:cs="Times New Roman"/>
          <w:sz w:val="24"/>
          <w:szCs w:val="24"/>
        </w:rPr>
        <w:t>,</w:t>
      </w:r>
      <w:r w:rsidR="00D53EB9" w:rsidRPr="00EE69C2">
        <w:rPr>
          <w:rFonts w:eastAsia="Times New Roman" w:cs="Times New Roman"/>
          <w:sz w:val="24"/>
          <w:szCs w:val="24"/>
        </w:rPr>
        <w:t xml:space="preserve"> per se,</w:t>
      </w:r>
      <w:r w:rsidRPr="00EE69C2">
        <w:rPr>
          <w:rFonts w:eastAsia="Times New Roman" w:cs="Times New Roman"/>
          <w:sz w:val="24"/>
          <w:szCs w:val="24"/>
        </w:rPr>
        <w:t xml:space="preserve"> </w:t>
      </w:r>
      <w:r w:rsidR="00BF7836" w:rsidRPr="00EE69C2">
        <w:rPr>
          <w:rFonts w:eastAsia="Times New Roman" w:cs="Times New Roman"/>
          <w:sz w:val="24"/>
          <w:szCs w:val="24"/>
        </w:rPr>
        <w:t xml:space="preserve">which </w:t>
      </w:r>
      <w:r w:rsidR="00D53EB9" w:rsidRPr="00EE69C2">
        <w:rPr>
          <w:rFonts w:eastAsia="Times New Roman" w:cs="Times New Roman"/>
          <w:sz w:val="24"/>
          <w:szCs w:val="24"/>
        </w:rPr>
        <w:t>have</w:t>
      </w:r>
      <w:r w:rsidRPr="00EE69C2">
        <w:rPr>
          <w:rFonts w:eastAsia="Times New Roman" w:cs="Times New Roman"/>
          <w:sz w:val="24"/>
          <w:szCs w:val="24"/>
        </w:rPr>
        <w:t xml:space="preserve"> direct effect</w:t>
      </w:r>
      <w:r w:rsidR="003A2C7C" w:rsidRPr="00EE69C2">
        <w:rPr>
          <w:rFonts w:eastAsia="Times New Roman" w:cs="Times New Roman"/>
          <w:sz w:val="24"/>
          <w:szCs w:val="24"/>
        </w:rPr>
        <w:t xml:space="preserve">/mandatory </w:t>
      </w:r>
      <w:r w:rsidR="00770CCC" w:rsidRPr="00EE69C2">
        <w:rPr>
          <w:rFonts w:eastAsia="Times New Roman" w:cs="Times New Roman"/>
          <w:sz w:val="24"/>
          <w:szCs w:val="24"/>
        </w:rPr>
        <w:t>applicability</w:t>
      </w:r>
      <w:r w:rsidRPr="00EE69C2">
        <w:rPr>
          <w:rFonts w:eastAsia="Times New Roman" w:cs="Times New Roman"/>
          <w:sz w:val="24"/>
          <w:szCs w:val="24"/>
        </w:rPr>
        <w:t xml:space="preserve"> and Member States have no discretion in this regard.</w:t>
      </w:r>
      <w:r w:rsidR="00D53EB9" w:rsidRPr="00EE69C2">
        <w:rPr>
          <w:rFonts w:eastAsia="Times New Roman" w:cs="Times New Roman"/>
          <w:sz w:val="24"/>
          <w:szCs w:val="24"/>
        </w:rPr>
        <w:t xml:space="preserve">  It is however, inviting comments/questions etc. on all aspects of the Directive/Regulation.</w:t>
      </w:r>
    </w:p>
    <w:p w:rsidR="003C48B6" w:rsidRPr="00EE69C2" w:rsidRDefault="003C48B6" w:rsidP="00F61CDD">
      <w:pPr>
        <w:jc w:val="both"/>
        <w:rPr>
          <w:rFonts w:eastAsia="Times New Roman" w:cs="Times New Roman"/>
          <w:sz w:val="24"/>
          <w:szCs w:val="24"/>
        </w:rPr>
      </w:pPr>
    </w:p>
    <w:p w:rsidR="00D61D6B" w:rsidRPr="00EE69C2" w:rsidRDefault="003C48B6" w:rsidP="00F61CDD">
      <w:pPr>
        <w:jc w:val="both"/>
        <w:rPr>
          <w:rFonts w:eastAsia="Times New Roman" w:cs="Times New Roman"/>
          <w:sz w:val="24"/>
          <w:szCs w:val="24"/>
        </w:rPr>
      </w:pPr>
      <w:r w:rsidRPr="00EE69C2">
        <w:rPr>
          <w:rFonts w:eastAsia="Times New Roman" w:cs="Times New Roman"/>
          <w:sz w:val="24"/>
          <w:szCs w:val="24"/>
        </w:rPr>
        <w:t xml:space="preserve">The consultation is </w:t>
      </w:r>
      <w:r w:rsidR="00BF7836" w:rsidRPr="00EE69C2">
        <w:rPr>
          <w:rFonts w:eastAsia="Times New Roman" w:cs="Times New Roman"/>
          <w:sz w:val="24"/>
          <w:szCs w:val="24"/>
        </w:rPr>
        <w:t xml:space="preserve">based on </w:t>
      </w:r>
      <w:r w:rsidRPr="00EE69C2">
        <w:rPr>
          <w:rFonts w:eastAsia="Times New Roman" w:cs="Times New Roman"/>
          <w:sz w:val="24"/>
          <w:szCs w:val="24"/>
        </w:rPr>
        <w:t xml:space="preserve">the </w:t>
      </w:r>
      <w:r w:rsidR="00BF7836" w:rsidRPr="00EE69C2">
        <w:rPr>
          <w:rFonts w:eastAsia="Times New Roman" w:cs="Times New Roman"/>
          <w:sz w:val="24"/>
          <w:szCs w:val="24"/>
        </w:rPr>
        <w:t>sequence</w:t>
      </w:r>
      <w:r w:rsidRPr="00EE69C2">
        <w:rPr>
          <w:rFonts w:eastAsia="Times New Roman" w:cs="Times New Roman"/>
          <w:sz w:val="24"/>
          <w:szCs w:val="24"/>
        </w:rPr>
        <w:t xml:space="preserve"> of </w:t>
      </w:r>
      <w:r w:rsidR="00C35F71" w:rsidRPr="00EE69C2">
        <w:rPr>
          <w:rFonts w:eastAsia="Times New Roman" w:cs="Times New Roman"/>
          <w:sz w:val="24"/>
          <w:szCs w:val="24"/>
        </w:rPr>
        <w:t xml:space="preserve">the </w:t>
      </w:r>
      <w:r w:rsidRPr="00EE69C2">
        <w:rPr>
          <w:rFonts w:eastAsia="Times New Roman" w:cs="Times New Roman"/>
          <w:sz w:val="24"/>
          <w:szCs w:val="24"/>
        </w:rPr>
        <w:t xml:space="preserve">Articles </w:t>
      </w:r>
      <w:r w:rsidR="00BF7836" w:rsidRPr="00EE69C2">
        <w:rPr>
          <w:rFonts w:eastAsia="Times New Roman" w:cs="Times New Roman"/>
          <w:sz w:val="24"/>
          <w:szCs w:val="24"/>
        </w:rPr>
        <w:t xml:space="preserve">which contain options </w:t>
      </w:r>
      <w:r w:rsidRPr="00EE69C2">
        <w:rPr>
          <w:rFonts w:eastAsia="Times New Roman" w:cs="Times New Roman"/>
          <w:sz w:val="24"/>
          <w:szCs w:val="24"/>
        </w:rPr>
        <w:t>as they appear in the Regulation</w:t>
      </w:r>
      <w:r w:rsidR="003A2C7C" w:rsidRPr="00EE69C2">
        <w:rPr>
          <w:rFonts w:eastAsia="Times New Roman" w:cs="Times New Roman"/>
          <w:sz w:val="24"/>
          <w:szCs w:val="24"/>
        </w:rPr>
        <w:t>/Directive</w:t>
      </w:r>
      <w:r w:rsidR="00C35F71" w:rsidRPr="00EE69C2">
        <w:rPr>
          <w:rFonts w:eastAsia="Times New Roman" w:cs="Times New Roman"/>
          <w:sz w:val="24"/>
          <w:szCs w:val="24"/>
        </w:rPr>
        <w:t xml:space="preserve">, with </w:t>
      </w:r>
      <w:r w:rsidR="00F61CDD" w:rsidRPr="00EE69C2">
        <w:rPr>
          <w:rFonts w:eastAsia="Times New Roman" w:cs="Times New Roman"/>
          <w:sz w:val="24"/>
          <w:szCs w:val="24"/>
        </w:rPr>
        <w:t xml:space="preserve">the </w:t>
      </w:r>
      <w:r w:rsidR="00BF7836" w:rsidRPr="00EE69C2">
        <w:rPr>
          <w:rFonts w:eastAsia="Times New Roman" w:cs="Times New Roman"/>
          <w:sz w:val="24"/>
          <w:szCs w:val="24"/>
        </w:rPr>
        <w:t xml:space="preserve">focus on the </w:t>
      </w:r>
      <w:r w:rsidR="00C35F71" w:rsidRPr="00EE69C2">
        <w:rPr>
          <w:rFonts w:eastAsia="Times New Roman" w:cs="Times New Roman"/>
          <w:sz w:val="24"/>
          <w:szCs w:val="24"/>
        </w:rPr>
        <w:t xml:space="preserve">options </w:t>
      </w:r>
      <w:r w:rsidR="00BF7836" w:rsidRPr="00EE69C2">
        <w:rPr>
          <w:rFonts w:eastAsia="Times New Roman" w:cs="Times New Roman"/>
          <w:sz w:val="24"/>
          <w:szCs w:val="24"/>
        </w:rPr>
        <w:t xml:space="preserve">set out </w:t>
      </w:r>
      <w:r w:rsidR="00C35F71" w:rsidRPr="00EE69C2">
        <w:rPr>
          <w:rFonts w:eastAsia="Times New Roman" w:cs="Times New Roman"/>
          <w:sz w:val="24"/>
          <w:szCs w:val="24"/>
        </w:rPr>
        <w:t>under each Article</w:t>
      </w:r>
      <w:r w:rsidRPr="00EE69C2">
        <w:rPr>
          <w:rFonts w:eastAsia="Times New Roman" w:cs="Times New Roman"/>
          <w:sz w:val="24"/>
          <w:szCs w:val="24"/>
        </w:rPr>
        <w:t xml:space="preserve">. </w:t>
      </w:r>
    </w:p>
    <w:p w:rsidR="00D61D6B" w:rsidRPr="00EE69C2" w:rsidRDefault="00D61D6B" w:rsidP="00F61CDD">
      <w:pPr>
        <w:jc w:val="both"/>
        <w:rPr>
          <w:rFonts w:eastAsia="Times New Roman" w:cs="Times New Roman"/>
          <w:b/>
          <w:i/>
          <w:sz w:val="24"/>
          <w:szCs w:val="24"/>
        </w:rPr>
      </w:pPr>
    </w:p>
    <w:p w:rsidR="00D61D6B" w:rsidRPr="00EE69C2" w:rsidRDefault="00D53EB9" w:rsidP="00F61CDD">
      <w:pPr>
        <w:jc w:val="both"/>
        <w:rPr>
          <w:rFonts w:eastAsia="Times New Roman" w:cs="Times New Roman"/>
          <w:sz w:val="24"/>
          <w:szCs w:val="24"/>
        </w:rPr>
      </w:pPr>
      <w:r w:rsidRPr="00EE69C2">
        <w:rPr>
          <w:rFonts w:eastAsia="Times New Roman" w:cs="Times New Roman"/>
          <w:sz w:val="24"/>
          <w:szCs w:val="24"/>
        </w:rPr>
        <w:t>Paraphrasing</w:t>
      </w:r>
      <w:r w:rsidR="00D61D6B" w:rsidRPr="00EE69C2">
        <w:rPr>
          <w:rFonts w:eastAsia="Times New Roman" w:cs="Times New Roman"/>
          <w:sz w:val="24"/>
          <w:szCs w:val="24"/>
        </w:rPr>
        <w:t xml:space="preserve"> the content of the Articles </w:t>
      </w:r>
      <w:r w:rsidRPr="00EE69C2">
        <w:rPr>
          <w:rFonts w:eastAsia="Times New Roman" w:cs="Times New Roman"/>
          <w:sz w:val="24"/>
          <w:szCs w:val="24"/>
        </w:rPr>
        <w:t xml:space="preserve">contained in the consultation document </w:t>
      </w:r>
      <w:r w:rsidR="00770CCC" w:rsidRPr="00EE69C2">
        <w:rPr>
          <w:rFonts w:eastAsia="Times New Roman" w:cs="Times New Roman"/>
          <w:sz w:val="24"/>
          <w:szCs w:val="24"/>
        </w:rPr>
        <w:t>is</w:t>
      </w:r>
      <w:r w:rsidRPr="00EE69C2">
        <w:rPr>
          <w:rFonts w:eastAsia="Times New Roman" w:cs="Times New Roman"/>
          <w:sz w:val="24"/>
          <w:szCs w:val="24"/>
        </w:rPr>
        <w:t xml:space="preserve"> intended as abbreviated descriptors and not</w:t>
      </w:r>
      <w:r w:rsidR="00D61D6B" w:rsidRPr="00EE69C2">
        <w:rPr>
          <w:rFonts w:eastAsia="Times New Roman" w:cs="Times New Roman"/>
          <w:sz w:val="24"/>
          <w:szCs w:val="24"/>
        </w:rPr>
        <w:t xml:space="preserve"> legal interpretation</w:t>
      </w:r>
      <w:r w:rsidRPr="00EE69C2">
        <w:rPr>
          <w:rFonts w:eastAsia="Times New Roman" w:cs="Times New Roman"/>
          <w:sz w:val="24"/>
          <w:szCs w:val="24"/>
        </w:rPr>
        <w:t>s</w:t>
      </w:r>
      <w:r w:rsidR="00D61D6B" w:rsidRPr="00EE69C2">
        <w:rPr>
          <w:rFonts w:eastAsia="Times New Roman" w:cs="Times New Roman"/>
          <w:sz w:val="24"/>
          <w:szCs w:val="24"/>
        </w:rPr>
        <w:t xml:space="preserve"> of the Articles</w:t>
      </w:r>
      <w:r w:rsidR="00706E35" w:rsidRPr="00EE69C2">
        <w:rPr>
          <w:rFonts w:eastAsia="Times New Roman" w:cs="Times New Roman"/>
          <w:sz w:val="24"/>
          <w:szCs w:val="24"/>
        </w:rPr>
        <w:t xml:space="preserve">.   </w:t>
      </w:r>
    </w:p>
    <w:p w:rsidR="00D61D6B" w:rsidRPr="00EE69C2" w:rsidRDefault="00D61D6B" w:rsidP="00F61CDD">
      <w:pPr>
        <w:jc w:val="both"/>
        <w:rPr>
          <w:rFonts w:eastAsia="Times New Roman" w:cs="Times New Roman"/>
          <w:sz w:val="24"/>
          <w:szCs w:val="24"/>
        </w:rPr>
      </w:pPr>
    </w:p>
    <w:p w:rsidR="00F21A9F" w:rsidRPr="00EE69C2" w:rsidRDefault="00F21A9F" w:rsidP="00F61CDD">
      <w:pPr>
        <w:jc w:val="both"/>
        <w:rPr>
          <w:rFonts w:eastAsia="Times New Roman" w:cs="Times New Roman"/>
          <w:sz w:val="24"/>
          <w:szCs w:val="24"/>
        </w:rPr>
      </w:pPr>
      <w:r w:rsidRPr="00EE69C2">
        <w:rPr>
          <w:rFonts w:eastAsia="Times New Roman" w:cs="Times New Roman"/>
          <w:sz w:val="24"/>
          <w:szCs w:val="24"/>
        </w:rPr>
        <w:t xml:space="preserve">The text of each option is set out with explanatory text from the Regulation/Directive included (as appropriate, in brackets) to assist </w:t>
      </w:r>
      <w:r w:rsidR="00D53EB9" w:rsidRPr="00EE69C2">
        <w:rPr>
          <w:rFonts w:eastAsia="Times New Roman" w:cs="Times New Roman"/>
          <w:sz w:val="24"/>
          <w:szCs w:val="24"/>
        </w:rPr>
        <w:t>with</w:t>
      </w:r>
      <w:r w:rsidRPr="00EE69C2">
        <w:rPr>
          <w:rFonts w:eastAsia="Times New Roman" w:cs="Times New Roman"/>
          <w:sz w:val="24"/>
          <w:szCs w:val="24"/>
        </w:rPr>
        <w:t xml:space="preserve"> the understanding of the Article being discussed.  The options, not the full Articles, in the interests of brevity, are inserted in the box headed “MS Option”</w:t>
      </w:r>
      <w:r w:rsidR="00F61CDD" w:rsidRPr="00EE69C2">
        <w:rPr>
          <w:rFonts w:eastAsia="Times New Roman" w:cs="Times New Roman"/>
          <w:sz w:val="24"/>
          <w:szCs w:val="24"/>
        </w:rPr>
        <w:t xml:space="preserve"> (Member State Option)</w:t>
      </w:r>
      <w:r w:rsidRPr="00EE69C2">
        <w:rPr>
          <w:rFonts w:eastAsia="Times New Roman" w:cs="Times New Roman"/>
          <w:sz w:val="24"/>
          <w:szCs w:val="24"/>
        </w:rPr>
        <w:t>.</w:t>
      </w:r>
      <w:r w:rsidR="00FB0A80" w:rsidRPr="00EE69C2">
        <w:rPr>
          <w:rFonts w:eastAsia="Times New Roman" w:cs="Times New Roman"/>
          <w:sz w:val="24"/>
          <w:szCs w:val="24"/>
        </w:rPr>
        <w:t xml:space="preserve"> </w:t>
      </w:r>
      <w:r w:rsidRPr="00EE69C2">
        <w:rPr>
          <w:rFonts w:eastAsia="Times New Roman" w:cs="Times New Roman"/>
          <w:sz w:val="24"/>
          <w:szCs w:val="24"/>
        </w:rPr>
        <w:t xml:space="preserve"> However, respondents are advised to refer to the full text of each of the Articles in question in order to be enabled to fully evaluate and comment on the option.  </w:t>
      </w:r>
    </w:p>
    <w:p w:rsidR="00FB0A80" w:rsidRPr="00EE69C2" w:rsidRDefault="00FB0A80" w:rsidP="00F61CDD">
      <w:pPr>
        <w:jc w:val="both"/>
        <w:rPr>
          <w:rFonts w:eastAsia="Times New Roman" w:cs="Times New Roman"/>
          <w:sz w:val="24"/>
          <w:szCs w:val="24"/>
        </w:rPr>
      </w:pPr>
    </w:p>
    <w:p w:rsidR="00706E35" w:rsidRPr="00EE69C2" w:rsidRDefault="00706E35" w:rsidP="00F61CDD">
      <w:pPr>
        <w:jc w:val="both"/>
        <w:rPr>
          <w:rFonts w:eastAsia="Times New Roman" w:cs="Times New Roman"/>
          <w:sz w:val="24"/>
          <w:szCs w:val="24"/>
        </w:rPr>
      </w:pPr>
      <w:r w:rsidRPr="00EE69C2">
        <w:rPr>
          <w:rFonts w:eastAsia="Times New Roman" w:cs="Times New Roman"/>
          <w:sz w:val="24"/>
          <w:szCs w:val="24"/>
        </w:rPr>
        <w:t>Summaries of the MS option</w:t>
      </w:r>
      <w:r w:rsidR="00D53EB9" w:rsidRPr="00EE69C2">
        <w:rPr>
          <w:rFonts w:eastAsia="Times New Roman" w:cs="Times New Roman"/>
          <w:sz w:val="24"/>
          <w:szCs w:val="24"/>
        </w:rPr>
        <w:t>s</w:t>
      </w:r>
      <w:r w:rsidRPr="00EE69C2">
        <w:rPr>
          <w:rFonts w:eastAsia="Times New Roman" w:cs="Times New Roman"/>
          <w:sz w:val="24"/>
          <w:szCs w:val="24"/>
        </w:rPr>
        <w:t xml:space="preserve"> are included in the box headed “Questions”</w:t>
      </w:r>
      <w:proofErr w:type="gramStart"/>
      <w:r w:rsidRPr="00EE69C2">
        <w:rPr>
          <w:rFonts w:eastAsia="Times New Roman" w:cs="Times New Roman"/>
          <w:sz w:val="24"/>
          <w:szCs w:val="24"/>
        </w:rPr>
        <w:t>,</w:t>
      </w:r>
      <w:proofErr w:type="gramEnd"/>
      <w:r w:rsidRPr="00EE69C2">
        <w:rPr>
          <w:rFonts w:eastAsia="Times New Roman" w:cs="Times New Roman"/>
          <w:sz w:val="24"/>
          <w:szCs w:val="24"/>
        </w:rPr>
        <w:t xml:space="preserve"> again these are not legal interpretation</w:t>
      </w:r>
      <w:r w:rsidR="00D53EB9" w:rsidRPr="00EE69C2">
        <w:rPr>
          <w:rFonts w:eastAsia="Times New Roman" w:cs="Times New Roman"/>
          <w:sz w:val="24"/>
          <w:szCs w:val="24"/>
        </w:rPr>
        <w:t>s</w:t>
      </w:r>
      <w:r w:rsidRPr="00EE69C2">
        <w:rPr>
          <w:rFonts w:eastAsia="Times New Roman" w:cs="Times New Roman"/>
          <w:sz w:val="24"/>
          <w:szCs w:val="24"/>
        </w:rPr>
        <w:t xml:space="preserve"> of the options.</w:t>
      </w:r>
    </w:p>
    <w:p w:rsidR="00706E35" w:rsidRPr="00EE69C2" w:rsidRDefault="00706E35" w:rsidP="00F61CDD">
      <w:pPr>
        <w:jc w:val="both"/>
        <w:rPr>
          <w:rFonts w:eastAsia="Times New Roman" w:cs="Times New Roman"/>
          <w:sz w:val="24"/>
          <w:szCs w:val="24"/>
        </w:rPr>
      </w:pPr>
    </w:p>
    <w:p w:rsidR="009D1FE8" w:rsidRPr="00EE69C2" w:rsidRDefault="009D1FE8" w:rsidP="00F61CDD">
      <w:pPr>
        <w:jc w:val="both"/>
        <w:rPr>
          <w:rFonts w:eastAsia="Times New Roman" w:cs="Times New Roman"/>
          <w:b/>
          <w:sz w:val="24"/>
          <w:szCs w:val="24"/>
        </w:rPr>
      </w:pPr>
      <w:r w:rsidRPr="00EE69C2">
        <w:rPr>
          <w:rFonts w:eastAsia="Times New Roman" w:cs="Times New Roman"/>
          <w:b/>
          <w:sz w:val="24"/>
          <w:szCs w:val="24"/>
        </w:rPr>
        <w:t>Questions</w:t>
      </w:r>
    </w:p>
    <w:p w:rsidR="00BE666C" w:rsidRPr="00EE69C2" w:rsidRDefault="003C48B6" w:rsidP="00F61CDD">
      <w:pPr>
        <w:pStyle w:val="Default"/>
        <w:jc w:val="both"/>
        <w:rPr>
          <w:rFonts w:asciiTheme="minorHAnsi" w:hAnsiTheme="minorHAnsi"/>
          <w:bCs/>
        </w:rPr>
      </w:pPr>
      <w:r w:rsidRPr="00EE69C2">
        <w:rPr>
          <w:rFonts w:asciiTheme="minorHAnsi" w:eastAsia="Times New Roman" w:hAnsiTheme="minorHAnsi"/>
        </w:rPr>
        <w:t xml:space="preserve">Questions are posed </w:t>
      </w:r>
      <w:r w:rsidR="009D1FE8" w:rsidRPr="00EE69C2">
        <w:rPr>
          <w:rFonts w:asciiTheme="minorHAnsi" w:eastAsia="Times New Roman" w:hAnsiTheme="minorHAnsi"/>
        </w:rPr>
        <w:t xml:space="preserve">as to </w:t>
      </w:r>
      <w:r w:rsidRPr="00EE69C2">
        <w:rPr>
          <w:rFonts w:asciiTheme="minorHAnsi" w:eastAsia="Times New Roman" w:hAnsiTheme="minorHAnsi"/>
        </w:rPr>
        <w:t xml:space="preserve">whether </w:t>
      </w:r>
      <w:r w:rsidR="009D1FE8" w:rsidRPr="00EE69C2">
        <w:rPr>
          <w:rFonts w:asciiTheme="minorHAnsi" w:eastAsia="Times New Roman" w:hAnsiTheme="minorHAnsi"/>
        </w:rPr>
        <w:t>the respondent is in favour of taking an</w:t>
      </w:r>
      <w:r w:rsidRPr="00EE69C2">
        <w:rPr>
          <w:rFonts w:asciiTheme="minorHAnsi" w:eastAsia="Times New Roman" w:hAnsiTheme="minorHAnsi"/>
        </w:rPr>
        <w:t xml:space="preserve"> option or not, </w:t>
      </w:r>
      <w:r w:rsidR="002818CA" w:rsidRPr="00EE69C2">
        <w:rPr>
          <w:rFonts w:asciiTheme="minorHAnsi" w:eastAsia="Times New Roman" w:hAnsiTheme="minorHAnsi"/>
        </w:rPr>
        <w:t xml:space="preserve">how </w:t>
      </w:r>
      <w:r w:rsidR="009D1FE8" w:rsidRPr="00EE69C2">
        <w:rPr>
          <w:rFonts w:asciiTheme="minorHAnsi" w:eastAsia="Times New Roman" w:hAnsiTheme="minorHAnsi"/>
        </w:rPr>
        <w:t xml:space="preserve">the respondent considers </w:t>
      </w:r>
      <w:r w:rsidR="002818CA" w:rsidRPr="00EE69C2">
        <w:rPr>
          <w:rFonts w:asciiTheme="minorHAnsi" w:eastAsia="Times New Roman" w:hAnsiTheme="minorHAnsi"/>
        </w:rPr>
        <w:t xml:space="preserve">it might be exercised and an explanation is sought on the reasoning for the response </w:t>
      </w:r>
      <w:r w:rsidRPr="00EE69C2">
        <w:rPr>
          <w:rFonts w:asciiTheme="minorHAnsi" w:eastAsia="Times New Roman" w:hAnsiTheme="minorHAnsi"/>
        </w:rPr>
        <w:t>provided.</w:t>
      </w:r>
      <w:r w:rsidR="00D61D6B" w:rsidRPr="00EE69C2">
        <w:rPr>
          <w:rFonts w:asciiTheme="minorHAnsi" w:eastAsia="Times New Roman" w:hAnsiTheme="minorHAnsi"/>
        </w:rPr>
        <w:t xml:space="preserve">  In this context, </w:t>
      </w:r>
      <w:r w:rsidR="00BE666C" w:rsidRPr="00EE69C2">
        <w:rPr>
          <w:rFonts w:asciiTheme="minorHAnsi" w:hAnsiTheme="minorHAnsi"/>
          <w:bCs/>
        </w:rPr>
        <w:t xml:space="preserve">the intrinsic pros and cons need to be factored in to the consideration of the options.   </w:t>
      </w:r>
      <w:r w:rsidR="002818CA" w:rsidRPr="00EE69C2">
        <w:rPr>
          <w:rFonts w:asciiTheme="minorHAnsi" w:hAnsiTheme="minorHAnsi"/>
          <w:bCs/>
        </w:rPr>
        <w:t xml:space="preserve">It must also be borne in mind that many of the options arise because </w:t>
      </w:r>
      <w:r w:rsidR="00BE666C" w:rsidRPr="00EE69C2">
        <w:rPr>
          <w:rFonts w:asciiTheme="minorHAnsi" w:hAnsiTheme="minorHAnsi"/>
          <w:bCs/>
        </w:rPr>
        <w:t xml:space="preserve">there was no overall agreement on these issues in the </w:t>
      </w:r>
      <w:r w:rsidR="002818CA" w:rsidRPr="00EE69C2">
        <w:rPr>
          <w:rFonts w:asciiTheme="minorHAnsi" w:hAnsiTheme="minorHAnsi"/>
          <w:bCs/>
        </w:rPr>
        <w:t xml:space="preserve">EU </w:t>
      </w:r>
      <w:r w:rsidR="00BE666C" w:rsidRPr="00EE69C2">
        <w:rPr>
          <w:rFonts w:asciiTheme="minorHAnsi" w:hAnsiTheme="minorHAnsi"/>
          <w:bCs/>
        </w:rPr>
        <w:t xml:space="preserve">negotiations.  </w:t>
      </w:r>
      <w:r w:rsidR="00BE666C" w:rsidRPr="00EE69C2">
        <w:rPr>
          <w:rFonts w:asciiTheme="minorHAnsi" w:eastAsia="Times New Roman" w:hAnsiTheme="minorHAnsi"/>
        </w:rPr>
        <w:t>Consideration should be given</w:t>
      </w:r>
      <w:r w:rsidR="002818CA" w:rsidRPr="00EE69C2">
        <w:rPr>
          <w:rFonts w:asciiTheme="minorHAnsi" w:eastAsia="Times New Roman" w:hAnsiTheme="minorHAnsi"/>
        </w:rPr>
        <w:t>, where applicable,</w:t>
      </w:r>
      <w:r w:rsidR="00BE666C" w:rsidRPr="00EE69C2">
        <w:rPr>
          <w:rFonts w:asciiTheme="minorHAnsi" w:eastAsia="Times New Roman" w:hAnsiTheme="minorHAnsi"/>
        </w:rPr>
        <w:t xml:space="preserve"> to </w:t>
      </w:r>
      <w:r w:rsidR="002818CA" w:rsidRPr="00EE69C2">
        <w:rPr>
          <w:rFonts w:asciiTheme="minorHAnsi" w:eastAsia="Times New Roman" w:hAnsiTheme="minorHAnsi"/>
        </w:rPr>
        <w:t xml:space="preserve">the advisability of </w:t>
      </w:r>
      <w:r w:rsidR="00BE666C" w:rsidRPr="00EE69C2">
        <w:rPr>
          <w:rFonts w:asciiTheme="minorHAnsi" w:eastAsia="Times New Roman" w:hAnsiTheme="minorHAnsi"/>
        </w:rPr>
        <w:t xml:space="preserve">taking of the option </w:t>
      </w:r>
      <w:r w:rsidR="002818CA" w:rsidRPr="00EE69C2">
        <w:rPr>
          <w:rFonts w:asciiTheme="minorHAnsi" w:eastAsia="Times New Roman" w:hAnsiTheme="minorHAnsi"/>
        </w:rPr>
        <w:t>in total vis-a-vis</w:t>
      </w:r>
      <w:r w:rsidR="00BE666C" w:rsidRPr="00EE69C2">
        <w:rPr>
          <w:rFonts w:asciiTheme="minorHAnsi" w:eastAsia="Times New Roman" w:hAnsiTheme="minorHAnsi"/>
        </w:rPr>
        <w:t xml:space="preserve"> </w:t>
      </w:r>
      <w:r w:rsidR="002818CA" w:rsidRPr="00EE69C2">
        <w:rPr>
          <w:rFonts w:asciiTheme="minorHAnsi" w:eastAsia="Times New Roman" w:hAnsiTheme="minorHAnsi"/>
        </w:rPr>
        <w:t>that of taking elements of it</w:t>
      </w:r>
      <w:r w:rsidR="00BE666C" w:rsidRPr="00EE69C2">
        <w:rPr>
          <w:rFonts w:asciiTheme="minorHAnsi" w:eastAsia="Times New Roman" w:hAnsiTheme="minorHAnsi"/>
        </w:rPr>
        <w:t xml:space="preserve">. </w:t>
      </w:r>
      <w:r w:rsidR="00002D15" w:rsidRPr="00EE69C2">
        <w:rPr>
          <w:rFonts w:asciiTheme="minorHAnsi" w:eastAsia="Times New Roman" w:hAnsiTheme="minorHAnsi"/>
        </w:rPr>
        <w:t xml:space="preserve"> </w:t>
      </w:r>
      <w:r w:rsidR="00BE666C" w:rsidRPr="00EE69C2">
        <w:rPr>
          <w:rFonts w:asciiTheme="minorHAnsi" w:hAnsiTheme="minorHAnsi"/>
          <w:bCs/>
        </w:rPr>
        <w:t xml:space="preserve">In addition, in </w:t>
      </w:r>
      <w:r w:rsidR="002818CA" w:rsidRPr="00EE69C2">
        <w:rPr>
          <w:rFonts w:asciiTheme="minorHAnsi" w:hAnsiTheme="minorHAnsi"/>
          <w:bCs/>
        </w:rPr>
        <w:t xml:space="preserve">considering certain options, it may be relevant to factor in implications which may arise for </w:t>
      </w:r>
      <w:r w:rsidR="00BE666C" w:rsidRPr="00EE69C2">
        <w:rPr>
          <w:rFonts w:asciiTheme="minorHAnsi" w:hAnsiTheme="minorHAnsi"/>
          <w:bCs/>
        </w:rPr>
        <w:t>EU</w:t>
      </w:r>
      <w:r w:rsidR="002818CA" w:rsidRPr="00EE69C2">
        <w:rPr>
          <w:rFonts w:asciiTheme="minorHAnsi" w:hAnsiTheme="minorHAnsi"/>
          <w:bCs/>
        </w:rPr>
        <w:t>-wide</w:t>
      </w:r>
      <w:r w:rsidR="00BE666C" w:rsidRPr="00EE69C2">
        <w:rPr>
          <w:rFonts w:asciiTheme="minorHAnsi" w:hAnsiTheme="minorHAnsi"/>
          <w:bCs/>
        </w:rPr>
        <w:t xml:space="preserve"> coherence</w:t>
      </w:r>
      <w:r w:rsidR="002818CA" w:rsidRPr="00EE69C2">
        <w:rPr>
          <w:rFonts w:asciiTheme="minorHAnsi" w:hAnsiTheme="minorHAnsi"/>
          <w:bCs/>
        </w:rPr>
        <w:t xml:space="preserve"> of approach in the area in question</w:t>
      </w:r>
      <w:r w:rsidR="00BE666C" w:rsidRPr="00EE69C2">
        <w:rPr>
          <w:rFonts w:asciiTheme="minorHAnsi" w:hAnsiTheme="minorHAnsi"/>
          <w:bCs/>
        </w:rPr>
        <w:t xml:space="preserve">.  </w:t>
      </w:r>
    </w:p>
    <w:p w:rsidR="00BE666C" w:rsidRPr="00EE69C2" w:rsidRDefault="00BE666C" w:rsidP="00F61CDD">
      <w:pPr>
        <w:jc w:val="both"/>
        <w:rPr>
          <w:rFonts w:eastAsia="Times New Roman" w:cs="Times New Roman"/>
          <w:sz w:val="24"/>
          <w:szCs w:val="24"/>
        </w:rPr>
      </w:pPr>
    </w:p>
    <w:p w:rsidR="003C48B6" w:rsidRPr="00EE69C2" w:rsidRDefault="000A0F70" w:rsidP="00F61CDD">
      <w:pPr>
        <w:jc w:val="both"/>
        <w:rPr>
          <w:rFonts w:eastAsia="Times New Roman" w:cs="Times New Roman"/>
          <w:sz w:val="24"/>
          <w:szCs w:val="24"/>
        </w:rPr>
      </w:pPr>
      <w:r w:rsidRPr="00EE69C2">
        <w:rPr>
          <w:rFonts w:eastAsia="Times New Roman" w:cs="Times New Roman"/>
          <w:sz w:val="24"/>
          <w:szCs w:val="24"/>
        </w:rPr>
        <w:t>It should be borne in mind that</w:t>
      </w:r>
      <w:r w:rsidR="00F071CB" w:rsidRPr="00EE69C2">
        <w:rPr>
          <w:rFonts w:eastAsia="Times New Roman" w:cs="Times New Roman"/>
          <w:sz w:val="24"/>
          <w:szCs w:val="24"/>
        </w:rPr>
        <w:t xml:space="preserve"> responses</w:t>
      </w:r>
      <w:r w:rsidR="00DB667E" w:rsidRPr="00EE69C2">
        <w:rPr>
          <w:rFonts w:eastAsia="Times New Roman" w:cs="Times New Roman"/>
          <w:sz w:val="24"/>
          <w:szCs w:val="24"/>
        </w:rPr>
        <w:t xml:space="preserve"> need not be limited</w:t>
      </w:r>
      <w:r w:rsidR="00322E96" w:rsidRPr="00EE69C2">
        <w:rPr>
          <w:rFonts w:eastAsia="Times New Roman" w:cs="Times New Roman"/>
          <w:sz w:val="24"/>
          <w:szCs w:val="24"/>
        </w:rPr>
        <w:t xml:space="preserve"> to questions raised under </w:t>
      </w:r>
      <w:r w:rsidR="00BE666C" w:rsidRPr="00EE69C2">
        <w:rPr>
          <w:rFonts w:eastAsia="Times New Roman" w:cs="Times New Roman"/>
          <w:sz w:val="24"/>
          <w:szCs w:val="24"/>
        </w:rPr>
        <w:t xml:space="preserve">the various options.  </w:t>
      </w:r>
      <w:r w:rsidR="003C48B6" w:rsidRPr="00EE69C2">
        <w:rPr>
          <w:rFonts w:eastAsia="Times New Roman" w:cs="Times New Roman"/>
          <w:sz w:val="24"/>
          <w:szCs w:val="24"/>
        </w:rPr>
        <w:t>Any additional observations on the options are welcome</w:t>
      </w:r>
      <w:r w:rsidR="00F071CB" w:rsidRPr="00EE69C2">
        <w:rPr>
          <w:rFonts w:eastAsia="Times New Roman" w:cs="Times New Roman"/>
          <w:sz w:val="24"/>
          <w:szCs w:val="24"/>
        </w:rPr>
        <w:t xml:space="preserve"> and will be fully considered</w:t>
      </w:r>
      <w:r w:rsidR="003C48B6" w:rsidRPr="00EE69C2">
        <w:rPr>
          <w:rFonts w:eastAsia="Times New Roman" w:cs="Times New Roman"/>
          <w:sz w:val="24"/>
          <w:szCs w:val="24"/>
        </w:rPr>
        <w:t>.</w:t>
      </w:r>
    </w:p>
    <w:p w:rsidR="003C48B6" w:rsidRPr="00EE69C2" w:rsidRDefault="003C48B6" w:rsidP="00F61CDD">
      <w:pPr>
        <w:jc w:val="both"/>
        <w:rPr>
          <w:rFonts w:eastAsia="Times New Roman" w:cs="Times New Roman"/>
          <w:sz w:val="24"/>
          <w:szCs w:val="24"/>
        </w:rPr>
      </w:pPr>
    </w:p>
    <w:p w:rsidR="009D1FE8" w:rsidRPr="00EE69C2" w:rsidRDefault="009D1FE8" w:rsidP="00F61CDD">
      <w:pPr>
        <w:jc w:val="both"/>
        <w:rPr>
          <w:rFonts w:eastAsia="Times New Roman" w:cs="Times New Roman"/>
          <w:b/>
          <w:sz w:val="24"/>
          <w:szCs w:val="24"/>
        </w:rPr>
      </w:pPr>
      <w:r w:rsidRPr="00EE69C2">
        <w:rPr>
          <w:rFonts w:eastAsia="Times New Roman" w:cs="Times New Roman"/>
          <w:b/>
          <w:sz w:val="24"/>
          <w:szCs w:val="24"/>
        </w:rPr>
        <w:t>Consultation Documents</w:t>
      </w:r>
    </w:p>
    <w:p w:rsidR="009D1FE8" w:rsidRPr="00EE69C2" w:rsidRDefault="00950363" w:rsidP="00F61CDD">
      <w:pPr>
        <w:jc w:val="both"/>
        <w:rPr>
          <w:rFonts w:eastAsia="Times New Roman" w:cs="Times New Roman"/>
          <w:sz w:val="24"/>
          <w:szCs w:val="24"/>
        </w:rPr>
      </w:pPr>
      <w:r w:rsidRPr="00EE69C2">
        <w:rPr>
          <w:rFonts w:eastAsia="Times New Roman" w:cs="Times New Roman"/>
          <w:sz w:val="24"/>
          <w:szCs w:val="24"/>
        </w:rPr>
        <w:t xml:space="preserve">This consultation </w:t>
      </w:r>
      <w:r w:rsidR="00BD3706">
        <w:rPr>
          <w:rFonts w:eastAsia="Times New Roman" w:cs="Times New Roman"/>
          <w:sz w:val="24"/>
          <w:szCs w:val="24"/>
        </w:rPr>
        <w:t>paper</w:t>
      </w:r>
      <w:r w:rsidRPr="00EE69C2">
        <w:rPr>
          <w:rFonts w:eastAsia="Times New Roman" w:cs="Times New Roman"/>
          <w:sz w:val="24"/>
          <w:szCs w:val="24"/>
        </w:rPr>
        <w:t xml:space="preserve"> is accompanied by four documents – </w:t>
      </w:r>
    </w:p>
    <w:p w:rsidR="009D1FE8" w:rsidRPr="00EE69C2" w:rsidRDefault="00950363" w:rsidP="00F61CDD">
      <w:pPr>
        <w:jc w:val="both"/>
        <w:rPr>
          <w:rFonts w:eastAsia="Times New Roman" w:cs="Times New Roman"/>
          <w:sz w:val="24"/>
          <w:szCs w:val="24"/>
        </w:rPr>
      </w:pPr>
      <w:r w:rsidRPr="00EE69C2">
        <w:rPr>
          <w:rFonts w:eastAsia="Times New Roman" w:cs="Times New Roman"/>
          <w:sz w:val="24"/>
          <w:szCs w:val="24"/>
        </w:rPr>
        <w:t>(</w:t>
      </w:r>
      <w:proofErr w:type="spellStart"/>
      <w:r w:rsidRPr="00EE69C2">
        <w:rPr>
          <w:rFonts w:eastAsia="Times New Roman" w:cs="Times New Roman"/>
          <w:sz w:val="24"/>
          <w:szCs w:val="24"/>
        </w:rPr>
        <w:t>i</w:t>
      </w:r>
      <w:proofErr w:type="spellEnd"/>
      <w:r w:rsidRPr="00EE69C2">
        <w:rPr>
          <w:rFonts w:eastAsia="Times New Roman" w:cs="Times New Roman"/>
          <w:sz w:val="24"/>
          <w:szCs w:val="24"/>
        </w:rPr>
        <w:t>)</w:t>
      </w:r>
      <w:r w:rsidR="00A97F36">
        <w:rPr>
          <w:rFonts w:eastAsia="Times New Roman" w:cs="Times New Roman"/>
          <w:sz w:val="24"/>
          <w:szCs w:val="24"/>
        </w:rPr>
        <w:tab/>
      </w:r>
      <w:r w:rsidRPr="00EE69C2">
        <w:rPr>
          <w:rFonts w:eastAsia="Times New Roman" w:cs="Times New Roman"/>
          <w:sz w:val="24"/>
          <w:szCs w:val="24"/>
        </w:rPr>
        <w:t xml:space="preserve">MS </w:t>
      </w:r>
      <w:r w:rsidR="00F61CDD" w:rsidRPr="00EE69C2">
        <w:rPr>
          <w:rFonts w:eastAsia="Times New Roman" w:cs="Times New Roman"/>
          <w:sz w:val="24"/>
          <w:szCs w:val="24"/>
        </w:rPr>
        <w:t>O</w:t>
      </w:r>
      <w:r w:rsidRPr="00EE69C2">
        <w:rPr>
          <w:rFonts w:eastAsia="Times New Roman" w:cs="Times New Roman"/>
          <w:sz w:val="24"/>
          <w:szCs w:val="24"/>
        </w:rPr>
        <w:t xml:space="preserve">ptions </w:t>
      </w:r>
      <w:r w:rsidR="007A4F36">
        <w:rPr>
          <w:rFonts w:eastAsia="Times New Roman" w:cs="Times New Roman"/>
          <w:sz w:val="24"/>
          <w:szCs w:val="24"/>
        </w:rPr>
        <w:t>under</w:t>
      </w:r>
      <w:r w:rsidRPr="00EE69C2">
        <w:rPr>
          <w:rFonts w:eastAsia="Times New Roman" w:cs="Times New Roman"/>
          <w:sz w:val="24"/>
          <w:szCs w:val="24"/>
        </w:rPr>
        <w:t xml:space="preserve"> the Regulation, </w:t>
      </w:r>
    </w:p>
    <w:p w:rsidR="009D1FE8" w:rsidRPr="00EE69C2" w:rsidRDefault="00A97F36" w:rsidP="00F61CDD">
      <w:pPr>
        <w:jc w:val="both"/>
        <w:rPr>
          <w:rFonts w:eastAsia="Times New Roman" w:cs="Times New Roman"/>
          <w:sz w:val="24"/>
          <w:szCs w:val="24"/>
        </w:rPr>
      </w:pPr>
      <w:r>
        <w:rPr>
          <w:rFonts w:eastAsia="Times New Roman" w:cs="Times New Roman"/>
          <w:sz w:val="24"/>
          <w:szCs w:val="24"/>
        </w:rPr>
        <w:t>(ii)</w:t>
      </w:r>
      <w:r>
        <w:rPr>
          <w:rFonts w:eastAsia="Times New Roman" w:cs="Times New Roman"/>
          <w:sz w:val="24"/>
          <w:szCs w:val="24"/>
        </w:rPr>
        <w:tab/>
      </w:r>
      <w:r w:rsidR="00950363" w:rsidRPr="00EE69C2">
        <w:rPr>
          <w:rFonts w:eastAsia="Times New Roman" w:cs="Times New Roman"/>
          <w:sz w:val="24"/>
          <w:szCs w:val="24"/>
        </w:rPr>
        <w:t xml:space="preserve">Regulation </w:t>
      </w:r>
      <w:r w:rsidR="00F61CDD" w:rsidRPr="00EE69C2">
        <w:rPr>
          <w:rFonts w:eastAsia="Times New Roman" w:cs="Times New Roman"/>
          <w:sz w:val="24"/>
          <w:szCs w:val="24"/>
        </w:rPr>
        <w:t>R</w:t>
      </w:r>
      <w:r w:rsidR="00950363" w:rsidRPr="00EE69C2">
        <w:rPr>
          <w:rFonts w:eastAsia="Times New Roman" w:cs="Times New Roman"/>
          <w:sz w:val="24"/>
          <w:szCs w:val="24"/>
        </w:rPr>
        <w:t xml:space="preserve">esponse </w:t>
      </w:r>
      <w:r w:rsidR="00F61CDD" w:rsidRPr="00EE69C2">
        <w:rPr>
          <w:rFonts w:eastAsia="Times New Roman" w:cs="Times New Roman"/>
          <w:sz w:val="24"/>
          <w:szCs w:val="24"/>
        </w:rPr>
        <w:t>T</w:t>
      </w:r>
      <w:r w:rsidR="00950363" w:rsidRPr="00EE69C2">
        <w:rPr>
          <w:rFonts w:eastAsia="Times New Roman" w:cs="Times New Roman"/>
          <w:sz w:val="24"/>
          <w:szCs w:val="24"/>
        </w:rPr>
        <w:t xml:space="preserve">emplate, </w:t>
      </w:r>
    </w:p>
    <w:p w:rsidR="009D1FE8" w:rsidRPr="00EE69C2" w:rsidRDefault="00950363" w:rsidP="00F61CDD">
      <w:pPr>
        <w:jc w:val="both"/>
        <w:rPr>
          <w:rFonts w:eastAsia="Times New Roman" w:cs="Times New Roman"/>
          <w:sz w:val="24"/>
          <w:szCs w:val="24"/>
        </w:rPr>
      </w:pPr>
      <w:r w:rsidRPr="00EE69C2">
        <w:rPr>
          <w:rFonts w:eastAsia="Times New Roman" w:cs="Times New Roman"/>
          <w:sz w:val="24"/>
          <w:szCs w:val="24"/>
        </w:rPr>
        <w:t>(iii)</w:t>
      </w:r>
      <w:r w:rsidR="00A97F36">
        <w:rPr>
          <w:rFonts w:eastAsia="Times New Roman" w:cs="Times New Roman"/>
          <w:sz w:val="24"/>
          <w:szCs w:val="24"/>
        </w:rPr>
        <w:tab/>
      </w:r>
      <w:r w:rsidRPr="00EE69C2">
        <w:rPr>
          <w:rFonts w:eastAsia="Times New Roman" w:cs="Times New Roman"/>
          <w:sz w:val="24"/>
          <w:szCs w:val="24"/>
        </w:rPr>
        <w:t xml:space="preserve">MS </w:t>
      </w:r>
      <w:r w:rsidR="00F61CDD" w:rsidRPr="00EE69C2">
        <w:rPr>
          <w:rFonts w:eastAsia="Times New Roman" w:cs="Times New Roman"/>
          <w:sz w:val="24"/>
          <w:szCs w:val="24"/>
        </w:rPr>
        <w:t>O</w:t>
      </w:r>
      <w:r w:rsidRPr="00EE69C2">
        <w:rPr>
          <w:rFonts w:eastAsia="Times New Roman" w:cs="Times New Roman"/>
          <w:sz w:val="24"/>
          <w:szCs w:val="24"/>
        </w:rPr>
        <w:t xml:space="preserve">ptions </w:t>
      </w:r>
      <w:r w:rsidR="007A4F36">
        <w:rPr>
          <w:rFonts w:eastAsia="Times New Roman" w:cs="Times New Roman"/>
          <w:sz w:val="24"/>
          <w:szCs w:val="24"/>
        </w:rPr>
        <w:t>under</w:t>
      </w:r>
      <w:r w:rsidRPr="00EE69C2">
        <w:rPr>
          <w:rFonts w:eastAsia="Times New Roman" w:cs="Times New Roman"/>
          <w:sz w:val="24"/>
          <w:szCs w:val="24"/>
        </w:rPr>
        <w:t xml:space="preserve"> the Directive and </w:t>
      </w:r>
    </w:p>
    <w:p w:rsidR="009D1FE8" w:rsidRPr="00EE69C2" w:rsidRDefault="00950363" w:rsidP="00F61CDD">
      <w:pPr>
        <w:jc w:val="both"/>
        <w:rPr>
          <w:rFonts w:eastAsia="Times New Roman" w:cs="Times New Roman"/>
          <w:sz w:val="24"/>
          <w:szCs w:val="24"/>
        </w:rPr>
      </w:pPr>
      <w:proofErr w:type="gramStart"/>
      <w:r w:rsidRPr="00EE69C2">
        <w:rPr>
          <w:rFonts w:eastAsia="Times New Roman" w:cs="Times New Roman"/>
          <w:sz w:val="24"/>
          <w:szCs w:val="24"/>
        </w:rPr>
        <w:t>(iv)</w:t>
      </w:r>
      <w:r w:rsidR="00A97F36">
        <w:rPr>
          <w:rFonts w:eastAsia="Times New Roman" w:cs="Times New Roman"/>
          <w:sz w:val="24"/>
          <w:szCs w:val="24"/>
        </w:rPr>
        <w:tab/>
      </w:r>
      <w:r w:rsidRPr="00EE69C2">
        <w:rPr>
          <w:rFonts w:eastAsia="Times New Roman" w:cs="Times New Roman"/>
          <w:sz w:val="24"/>
          <w:szCs w:val="24"/>
        </w:rPr>
        <w:t>Directive</w:t>
      </w:r>
      <w:proofErr w:type="gramEnd"/>
      <w:r w:rsidRPr="00EE69C2">
        <w:rPr>
          <w:rFonts w:eastAsia="Times New Roman" w:cs="Times New Roman"/>
          <w:sz w:val="24"/>
          <w:szCs w:val="24"/>
        </w:rPr>
        <w:t xml:space="preserve"> </w:t>
      </w:r>
      <w:r w:rsidR="00F61CDD" w:rsidRPr="00EE69C2">
        <w:rPr>
          <w:rFonts w:eastAsia="Times New Roman" w:cs="Times New Roman"/>
          <w:sz w:val="24"/>
          <w:szCs w:val="24"/>
        </w:rPr>
        <w:t>R</w:t>
      </w:r>
      <w:r w:rsidRPr="00EE69C2">
        <w:rPr>
          <w:rFonts w:eastAsia="Times New Roman" w:cs="Times New Roman"/>
          <w:sz w:val="24"/>
          <w:szCs w:val="24"/>
        </w:rPr>
        <w:t xml:space="preserve">esponse </w:t>
      </w:r>
      <w:r w:rsidR="00F61CDD" w:rsidRPr="00EE69C2">
        <w:rPr>
          <w:rFonts w:eastAsia="Times New Roman" w:cs="Times New Roman"/>
          <w:sz w:val="24"/>
          <w:szCs w:val="24"/>
        </w:rPr>
        <w:t>T</w:t>
      </w:r>
      <w:r w:rsidRPr="00EE69C2">
        <w:rPr>
          <w:rFonts w:eastAsia="Times New Roman" w:cs="Times New Roman"/>
          <w:sz w:val="24"/>
          <w:szCs w:val="24"/>
        </w:rPr>
        <w:t xml:space="preserve">emplate.  </w:t>
      </w:r>
    </w:p>
    <w:p w:rsidR="009D1FE8" w:rsidRPr="00EE69C2" w:rsidRDefault="009D1FE8" w:rsidP="00F61CDD">
      <w:pPr>
        <w:jc w:val="both"/>
        <w:rPr>
          <w:rFonts w:eastAsia="Times New Roman" w:cs="Times New Roman"/>
          <w:sz w:val="24"/>
          <w:szCs w:val="24"/>
        </w:rPr>
      </w:pPr>
    </w:p>
    <w:p w:rsidR="00000A49" w:rsidRPr="00EE69C2" w:rsidRDefault="00F61CDD" w:rsidP="00F61CDD">
      <w:pPr>
        <w:jc w:val="both"/>
        <w:rPr>
          <w:rFonts w:ascii="Calibri" w:eastAsia="Calibri" w:hAnsi="Calibri" w:cs="Calibri"/>
          <w:bCs/>
          <w:spacing w:val="-8"/>
          <w:sz w:val="24"/>
          <w:szCs w:val="24"/>
        </w:rPr>
      </w:pPr>
      <w:r w:rsidRPr="00EE69C2">
        <w:rPr>
          <w:rFonts w:eastAsia="Times New Roman" w:cs="Times New Roman"/>
          <w:sz w:val="24"/>
          <w:szCs w:val="24"/>
        </w:rPr>
        <w:t xml:space="preserve">The document “MS Options </w:t>
      </w:r>
      <w:r w:rsidR="007A4F36">
        <w:rPr>
          <w:rFonts w:eastAsia="Times New Roman" w:cs="Times New Roman"/>
          <w:sz w:val="24"/>
          <w:szCs w:val="24"/>
        </w:rPr>
        <w:t>under</w:t>
      </w:r>
      <w:r w:rsidRPr="00EE69C2">
        <w:rPr>
          <w:rFonts w:eastAsia="Times New Roman" w:cs="Times New Roman"/>
          <w:sz w:val="24"/>
          <w:szCs w:val="24"/>
        </w:rPr>
        <w:t xml:space="preserve"> the Regulation” sets out the options and related questions in two separate panels.  </w:t>
      </w:r>
      <w:r w:rsidR="009D1FE8" w:rsidRPr="00EE69C2">
        <w:rPr>
          <w:rFonts w:eastAsia="Times New Roman" w:cs="Times New Roman"/>
          <w:sz w:val="24"/>
          <w:szCs w:val="24"/>
        </w:rPr>
        <w:t>T</w:t>
      </w:r>
      <w:r w:rsidR="00FA4C89" w:rsidRPr="00EE69C2">
        <w:rPr>
          <w:rFonts w:eastAsia="Times New Roman" w:cs="Times New Roman"/>
          <w:sz w:val="24"/>
          <w:szCs w:val="24"/>
        </w:rPr>
        <w:t>he documents</w:t>
      </w:r>
      <w:r w:rsidRPr="00EE69C2">
        <w:rPr>
          <w:rFonts w:eastAsia="Times New Roman" w:cs="Times New Roman"/>
          <w:sz w:val="24"/>
          <w:szCs w:val="24"/>
        </w:rPr>
        <w:t xml:space="preserve"> “MS Options </w:t>
      </w:r>
      <w:r w:rsidR="007A4F36">
        <w:rPr>
          <w:rFonts w:eastAsia="Times New Roman" w:cs="Times New Roman"/>
          <w:sz w:val="24"/>
          <w:szCs w:val="24"/>
        </w:rPr>
        <w:t>under</w:t>
      </w:r>
      <w:r w:rsidRPr="00EE69C2">
        <w:rPr>
          <w:rFonts w:eastAsia="Times New Roman" w:cs="Times New Roman"/>
          <w:sz w:val="24"/>
          <w:szCs w:val="24"/>
        </w:rPr>
        <w:t xml:space="preserve"> </w:t>
      </w:r>
      <w:r w:rsidR="00FA4C89" w:rsidRPr="00EE69C2">
        <w:rPr>
          <w:rFonts w:eastAsia="Times New Roman" w:cs="Times New Roman"/>
          <w:sz w:val="24"/>
          <w:szCs w:val="24"/>
        </w:rPr>
        <w:t>the Directive</w:t>
      </w:r>
      <w:r w:rsidRPr="00EE69C2">
        <w:rPr>
          <w:rFonts w:eastAsia="Times New Roman" w:cs="Times New Roman"/>
          <w:sz w:val="24"/>
          <w:szCs w:val="24"/>
        </w:rPr>
        <w:t>”</w:t>
      </w:r>
      <w:r w:rsidR="00FA4C89" w:rsidRPr="00EE69C2">
        <w:rPr>
          <w:rFonts w:eastAsia="Times New Roman" w:cs="Times New Roman"/>
          <w:sz w:val="24"/>
          <w:szCs w:val="24"/>
        </w:rPr>
        <w:t xml:space="preserve"> </w:t>
      </w:r>
      <w:r w:rsidR="00FA4C89" w:rsidRPr="00EE69C2">
        <w:rPr>
          <w:rFonts w:eastAsia="Times New Roman" w:cs="Times New Roman"/>
          <w:sz w:val="24"/>
          <w:szCs w:val="24"/>
        </w:rPr>
        <w:lastRenderedPageBreak/>
        <w:t>correlates the Articles of the current Directive (2014/56/EU) with the precursor Audit Directive (2006/43/EC) and, where appropriate, includes the transposing regulation from S.I. No. 220 of 2010.</w:t>
      </w:r>
      <w:r w:rsidR="00000A49" w:rsidRPr="00EE69C2">
        <w:rPr>
          <w:rFonts w:eastAsia="Times New Roman" w:cs="Times New Roman"/>
          <w:sz w:val="24"/>
          <w:szCs w:val="24"/>
        </w:rPr>
        <w:t xml:space="preserve">  Also, </w:t>
      </w:r>
      <w:r w:rsidRPr="00EE69C2">
        <w:rPr>
          <w:rFonts w:eastAsia="Times New Roman" w:cs="Times New Roman"/>
          <w:sz w:val="24"/>
          <w:szCs w:val="24"/>
        </w:rPr>
        <w:t>t</w:t>
      </w:r>
      <w:r w:rsidR="00000A49" w:rsidRPr="00EE69C2">
        <w:rPr>
          <w:rFonts w:ascii="Calibri" w:eastAsia="Calibri" w:hAnsi="Calibri" w:cs="Calibri"/>
          <w:bCs/>
          <w:spacing w:val="-1"/>
          <w:sz w:val="24"/>
          <w:szCs w:val="24"/>
        </w:rPr>
        <w:t xml:space="preserve">he relevant text of Directive 2006/43/EC appears in the left-hand panel, the unmodified/amended/new option </w:t>
      </w:r>
      <w:r w:rsidRPr="00EE69C2">
        <w:rPr>
          <w:rFonts w:ascii="Calibri" w:eastAsia="Calibri" w:hAnsi="Calibri" w:cs="Calibri"/>
          <w:bCs/>
          <w:spacing w:val="-1"/>
          <w:sz w:val="24"/>
          <w:szCs w:val="24"/>
        </w:rPr>
        <w:t xml:space="preserve">text </w:t>
      </w:r>
      <w:r w:rsidR="00000A49" w:rsidRPr="00EE69C2">
        <w:rPr>
          <w:rFonts w:ascii="Calibri" w:eastAsia="Calibri" w:hAnsi="Calibri" w:cs="Calibri"/>
          <w:bCs/>
          <w:spacing w:val="-1"/>
          <w:sz w:val="24"/>
          <w:szCs w:val="24"/>
        </w:rPr>
        <w:t xml:space="preserve">contained in the new Directive 2014/56/EU </w:t>
      </w:r>
      <w:r w:rsidRPr="00EE69C2">
        <w:rPr>
          <w:rFonts w:ascii="Calibri" w:eastAsia="Calibri" w:hAnsi="Calibri" w:cs="Calibri"/>
          <w:bCs/>
          <w:spacing w:val="-1"/>
          <w:sz w:val="24"/>
          <w:szCs w:val="24"/>
        </w:rPr>
        <w:t>is</w:t>
      </w:r>
      <w:r w:rsidR="00000A49" w:rsidRPr="00EE69C2">
        <w:rPr>
          <w:rFonts w:ascii="Calibri" w:eastAsia="Calibri" w:hAnsi="Calibri" w:cs="Calibri"/>
          <w:bCs/>
          <w:spacing w:val="-1"/>
          <w:sz w:val="24"/>
          <w:szCs w:val="24"/>
        </w:rPr>
        <w:t xml:space="preserve"> in the center panel, while the right-most panel raises Questions /solicits comments on the options contained in the Directive.</w:t>
      </w:r>
      <w:r w:rsidR="00000A49" w:rsidRPr="00EE69C2">
        <w:rPr>
          <w:rFonts w:ascii="Calibri" w:eastAsia="Calibri" w:hAnsi="Calibri" w:cs="Calibri"/>
          <w:bCs/>
          <w:spacing w:val="-8"/>
          <w:sz w:val="24"/>
          <w:szCs w:val="24"/>
        </w:rPr>
        <w:t xml:space="preserve"> </w:t>
      </w:r>
    </w:p>
    <w:p w:rsidR="009D1FE8" w:rsidRPr="00EE69C2" w:rsidRDefault="009D1FE8" w:rsidP="00F61CDD">
      <w:pPr>
        <w:jc w:val="both"/>
        <w:rPr>
          <w:rFonts w:eastAsia="Times New Roman" w:cs="Times New Roman"/>
          <w:sz w:val="24"/>
          <w:szCs w:val="24"/>
        </w:rPr>
      </w:pPr>
    </w:p>
    <w:p w:rsidR="009D1FE8" w:rsidRPr="00EE69C2" w:rsidRDefault="009D1FE8" w:rsidP="00F61CDD">
      <w:pPr>
        <w:jc w:val="both"/>
        <w:rPr>
          <w:rFonts w:eastAsia="Times New Roman" w:cs="Times New Roman"/>
          <w:b/>
          <w:sz w:val="24"/>
          <w:szCs w:val="24"/>
        </w:rPr>
      </w:pPr>
      <w:r w:rsidRPr="00EE69C2">
        <w:rPr>
          <w:rFonts w:eastAsia="Times New Roman" w:cs="Times New Roman"/>
          <w:b/>
          <w:sz w:val="24"/>
          <w:szCs w:val="24"/>
        </w:rPr>
        <w:t>Responses</w:t>
      </w:r>
    </w:p>
    <w:p w:rsidR="00950363" w:rsidRPr="00EE69C2" w:rsidRDefault="00F61CDD" w:rsidP="00F61CDD">
      <w:pPr>
        <w:jc w:val="both"/>
        <w:rPr>
          <w:rFonts w:eastAsia="Times New Roman" w:cs="Times New Roman"/>
          <w:sz w:val="24"/>
          <w:szCs w:val="24"/>
        </w:rPr>
      </w:pPr>
      <w:r w:rsidRPr="00EE69C2">
        <w:rPr>
          <w:rFonts w:eastAsia="Times New Roman" w:cs="Times New Roman"/>
          <w:sz w:val="24"/>
          <w:szCs w:val="24"/>
        </w:rPr>
        <w:t xml:space="preserve">Separate Response Templates are provided for the Regulation and Directive.  </w:t>
      </w:r>
      <w:r w:rsidR="00950363" w:rsidRPr="00EE69C2">
        <w:rPr>
          <w:rFonts w:eastAsia="Times New Roman" w:cs="Times New Roman"/>
          <w:sz w:val="24"/>
          <w:szCs w:val="24"/>
        </w:rPr>
        <w:t xml:space="preserve">Please </w:t>
      </w:r>
      <w:r w:rsidR="009D1FE8" w:rsidRPr="00EE69C2">
        <w:rPr>
          <w:rFonts w:eastAsia="Times New Roman" w:cs="Times New Roman"/>
          <w:sz w:val="24"/>
          <w:szCs w:val="24"/>
        </w:rPr>
        <w:t>include your response in the blank box underneath the relevant Article title</w:t>
      </w:r>
      <w:r w:rsidRPr="00EE69C2">
        <w:rPr>
          <w:rFonts w:eastAsia="Times New Roman" w:cs="Times New Roman"/>
          <w:sz w:val="24"/>
          <w:szCs w:val="24"/>
        </w:rPr>
        <w:t xml:space="preserve"> and across from the relevant option</w:t>
      </w:r>
      <w:r w:rsidR="00950363" w:rsidRPr="00EE69C2">
        <w:rPr>
          <w:rFonts w:eastAsia="Times New Roman" w:cs="Times New Roman"/>
          <w:sz w:val="24"/>
          <w:szCs w:val="24"/>
        </w:rPr>
        <w:t xml:space="preserve"> in the documents</w:t>
      </w:r>
      <w:r w:rsidR="00000A49" w:rsidRPr="00EE69C2">
        <w:rPr>
          <w:rFonts w:eastAsia="Times New Roman" w:cs="Times New Roman"/>
          <w:sz w:val="24"/>
          <w:szCs w:val="24"/>
        </w:rPr>
        <w:t>, relating both to the Regulation and the Directive,</w:t>
      </w:r>
      <w:r w:rsidR="00950363" w:rsidRPr="00EE69C2">
        <w:rPr>
          <w:rFonts w:eastAsia="Times New Roman" w:cs="Times New Roman"/>
          <w:sz w:val="24"/>
          <w:szCs w:val="24"/>
        </w:rPr>
        <w:t xml:space="preserve"> to set </w:t>
      </w:r>
      <w:proofErr w:type="gramStart"/>
      <w:r w:rsidR="00950363" w:rsidRPr="00EE69C2">
        <w:rPr>
          <w:rFonts w:eastAsia="Times New Roman" w:cs="Times New Roman"/>
          <w:sz w:val="24"/>
          <w:szCs w:val="24"/>
        </w:rPr>
        <w:t>out/explain</w:t>
      </w:r>
      <w:proofErr w:type="gramEnd"/>
      <w:r w:rsidR="00950363" w:rsidRPr="00EE69C2">
        <w:rPr>
          <w:rFonts w:eastAsia="Times New Roman" w:cs="Times New Roman"/>
          <w:sz w:val="24"/>
          <w:szCs w:val="24"/>
        </w:rPr>
        <w:t xml:space="preserve"> your choice of option and your views on each of the options.  </w:t>
      </w:r>
      <w:r w:rsidRPr="00EE69C2">
        <w:rPr>
          <w:rFonts w:eastAsia="Times New Roman" w:cs="Times New Roman"/>
          <w:sz w:val="24"/>
          <w:szCs w:val="24"/>
        </w:rPr>
        <w:t>Completing the Response Templates</w:t>
      </w:r>
      <w:r w:rsidR="00950363" w:rsidRPr="00EE69C2">
        <w:rPr>
          <w:rFonts w:eastAsia="Times New Roman" w:cs="Times New Roman"/>
          <w:sz w:val="24"/>
          <w:szCs w:val="24"/>
        </w:rPr>
        <w:t xml:space="preserve"> will assist </w:t>
      </w:r>
      <w:r w:rsidR="009D1FE8" w:rsidRPr="00EE69C2">
        <w:rPr>
          <w:rFonts w:eastAsia="Times New Roman" w:cs="Times New Roman"/>
          <w:sz w:val="24"/>
          <w:szCs w:val="24"/>
        </w:rPr>
        <w:t xml:space="preserve">with achieving </w:t>
      </w:r>
      <w:r w:rsidR="00950363" w:rsidRPr="00EE69C2">
        <w:rPr>
          <w:rFonts w:eastAsia="Times New Roman" w:cs="Times New Roman"/>
          <w:sz w:val="24"/>
          <w:szCs w:val="24"/>
        </w:rPr>
        <w:t xml:space="preserve">a consistent approach in responses </w:t>
      </w:r>
      <w:r w:rsidR="0030156A">
        <w:rPr>
          <w:rFonts w:eastAsia="Times New Roman" w:cs="Times New Roman"/>
          <w:sz w:val="24"/>
          <w:szCs w:val="24"/>
        </w:rPr>
        <w:t>returned</w:t>
      </w:r>
      <w:r w:rsidR="00950363" w:rsidRPr="00EE69C2">
        <w:rPr>
          <w:rFonts w:eastAsia="Times New Roman" w:cs="Times New Roman"/>
          <w:sz w:val="24"/>
          <w:szCs w:val="24"/>
        </w:rPr>
        <w:t xml:space="preserve"> and facilitate collation of responses.  </w:t>
      </w:r>
    </w:p>
    <w:p w:rsidR="00950363" w:rsidRPr="00EE69C2" w:rsidRDefault="00950363" w:rsidP="00F61CDD">
      <w:pPr>
        <w:jc w:val="both"/>
        <w:rPr>
          <w:rFonts w:eastAsia="Times New Roman" w:cs="Times New Roman"/>
          <w:sz w:val="24"/>
          <w:szCs w:val="24"/>
        </w:rPr>
      </w:pPr>
    </w:p>
    <w:p w:rsidR="003C48B6" w:rsidRPr="00EE69C2" w:rsidRDefault="009D1FE8" w:rsidP="00F61CDD">
      <w:pPr>
        <w:jc w:val="both"/>
        <w:rPr>
          <w:rFonts w:eastAsia="Times New Roman" w:cs="Times New Roman"/>
          <w:sz w:val="24"/>
          <w:szCs w:val="24"/>
        </w:rPr>
      </w:pPr>
      <w:r w:rsidRPr="00EE69C2">
        <w:rPr>
          <w:rFonts w:eastAsia="Times New Roman" w:cs="Times New Roman"/>
          <w:sz w:val="24"/>
          <w:szCs w:val="24"/>
        </w:rPr>
        <w:t>As noted earlier,</w:t>
      </w:r>
      <w:r w:rsidR="003C48B6" w:rsidRPr="00EE69C2">
        <w:rPr>
          <w:rFonts w:eastAsia="Times New Roman" w:cs="Times New Roman"/>
          <w:sz w:val="24"/>
          <w:szCs w:val="24"/>
        </w:rPr>
        <w:t xml:space="preserve"> the present consultation is focused on Member State options</w:t>
      </w:r>
      <w:r w:rsidR="00F61CDD" w:rsidRPr="00EE69C2">
        <w:rPr>
          <w:rFonts w:eastAsia="Times New Roman" w:cs="Times New Roman"/>
          <w:sz w:val="24"/>
          <w:szCs w:val="24"/>
        </w:rPr>
        <w:t>.  T</w:t>
      </w:r>
      <w:r w:rsidR="003C48B6" w:rsidRPr="00EE69C2">
        <w:rPr>
          <w:rFonts w:eastAsia="Times New Roman" w:cs="Times New Roman"/>
          <w:sz w:val="24"/>
          <w:szCs w:val="24"/>
        </w:rPr>
        <w:t>he Department of</w:t>
      </w:r>
      <w:r w:rsidR="00706E35" w:rsidRPr="00EE69C2">
        <w:rPr>
          <w:rFonts w:eastAsia="Times New Roman" w:cs="Times New Roman"/>
          <w:sz w:val="24"/>
          <w:szCs w:val="24"/>
        </w:rPr>
        <w:t xml:space="preserve"> Jobs, Enterprise and Innovation</w:t>
      </w:r>
      <w:r w:rsidR="003C48B6" w:rsidRPr="00EE69C2">
        <w:rPr>
          <w:rFonts w:eastAsia="Times New Roman" w:cs="Times New Roman"/>
          <w:sz w:val="24"/>
          <w:szCs w:val="24"/>
        </w:rPr>
        <w:t xml:space="preserve"> also invites comments and questions from respondents on any aspect of the Regulation</w:t>
      </w:r>
      <w:r w:rsidR="00706E35" w:rsidRPr="00EE69C2">
        <w:rPr>
          <w:rFonts w:eastAsia="Times New Roman" w:cs="Times New Roman"/>
          <w:sz w:val="24"/>
          <w:szCs w:val="24"/>
        </w:rPr>
        <w:t xml:space="preserve">/Directive </w:t>
      </w:r>
      <w:r w:rsidR="003C48B6" w:rsidRPr="00EE69C2">
        <w:rPr>
          <w:rFonts w:eastAsia="Times New Roman" w:cs="Times New Roman"/>
          <w:sz w:val="24"/>
          <w:szCs w:val="24"/>
        </w:rPr>
        <w:t>and are encouraged to do so as early as possible to facilitate the Department’s work of transposition of the measure</w:t>
      </w:r>
      <w:r w:rsidR="00706E35" w:rsidRPr="00EE69C2">
        <w:rPr>
          <w:rFonts w:eastAsia="Times New Roman" w:cs="Times New Roman"/>
          <w:sz w:val="24"/>
          <w:szCs w:val="24"/>
        </w:rPr>
        <w:t>s</w:t>
      </w:r>
      <w:r w:rsidR="003C48B6" w:rsidRPr="00EE69C2">
        <w:rPr>
          <w:rFonts w:eastAsia="Times New Roman" w:cs="Times New Roman"/>
          <w:sz w:val="24"/>
          <w:szCs w:val="24"/>
        </w:rPr>
        <w:t xml:space="preserve">.  </w:t>
      </w:r>
    </w:p>
    <w:p w:rsidR="003C48B6" w:rsidRPr="00EE69C2" w:rsidRDefault="003C48B6" w:rsidP="00F61CDD">
      <w:pPr>
        <w:jc w:val="both"/>
        <w:rPr>
          <w:rFonts w:eastAsia="Times New Roman" w:cs="Times New Roman"/>
          <w:sz w:val="24"/>
          <w:szCs w:val="24"/>
        </w:rPr>
      </w:pPr>
    </w:p>
    <w:p w:rsidR="00F61CDD" w:rsidRPr="00EE69C2" w:rsidRDefault="00706E35" w:rsidP="00F61CDD">
      <w:pPr>
        <w:jc w:val="both"/>
        <w:rPr>
          <w:rFonts w:eastAsia="Times New Roman" w:cs="Times New Roman"/>
          <w:sz w:val="24"/>
          <w:szCs w:val="24"/>
        </w:rPr>
      </w:pPr>
      <w:r w:rsidRPr="00EE69C2">
        <w:rPr>
          <w:rFonts w:eastAsia="Times New Roman" w:cs="Times New Roman"/>
          <w:sz w:val="24"/>
          <w:szCs w:val="24"/>
        </w:rPr>
        <w:t>In particular, t</w:t>
      </w:r>
      <w:r w:rsidR="003C48B6" w:rsidRPr="00EE69C2">
        <w:rPr>
          <w:rFonts w:eastAsia="Times New Roman" w:cs="Times New Roman"/>
          <w:sz w:val="24"/>
          <w:szCs w:val="24"/>
        </w:rPr>
        <w:t xml:space="preserve">he Department would welcome comments in relation to issues, apart from the options, such as </w:t>
      </w:r>
      <w:r w:rsidR="00F61CDD" w:rsidRPr="00EE69C2">
        <w:rPr>
          <w:rFonts w:eastAsia="Times New Roman" w:cs="Times New Roman"/>
          <w:sz w:val="24"/>
          <w:szCs w:val="24"/>
        </w:rPr>
        <w:t>–</w:t>
      </w:r>
      <w:r w:rsidR="009D1FE8" w:rsidRPr="00EE69C2">
        <w:rPr>
          <w:rFonts w:eastAsia="Times New Roman" w:cs="Times New Roman"/>
          <w:sz w:val="24"/>
          <w:szCs w:val="24"/>
        </w:rPr>
        <w:t xml:space="preserve"> </w:t>
      </w:r>
    </w:p>
    <w:p w:rsidR="009D1FE8" w:rsidRPr="00EE69C2" w:rsidRDefault="00706E35" w:rsidP="00A97F36">
      <w:pPr>
        <w:ind w:left="720" w:hanging="720"/>
        <w:jc w:val="both"/>
        <w:rPr>
          <w:rFonts w:eastAsia="Times New Roman" w:cs="Times New Roman"/>
          <w:sz w:val="24"/>
          <w:szCs w:val="24"/>
        </w:rPr>
      </w:pPr>
      <w:r w:rsidRPr="00EE69C2">
        <w:rPr>
          <w:rFonts w:eastAsia="Times New Roman" w:cs="Times New Roman"/>
          <w:sz w:val="24"/>
          <w:szCs w:val="24"/>
        </w:rPr>
        <w:t>(</w:t>
      </w:r>
      <w:proofErr w:type="spellStart"/>
      <w:r w:rsidRPr="00EE69C2">
        <w:rPr>
          <w:rFonts w:eastAsia="Times New Roman" w:cs="Times New Roman"/>
          <w:sz w:val="24"/>
          <w:szCs w:val="24"/>
        </w:rPr>
        <w:t>i</w:t>
      </w:r>
      <w:proofErr w:type="spellEnd"/>
      <w:r w:rsidRPr="00EE69C2">
        <w:rPr>
          <w:rFonts w:eastAsia="Times New Roman" w:cs="Times New Roman"/>
          <w:sz w:val="24"/>
          <w:szCs w:val="24"/>
        </w:rPr>
        <w:t>)</w:t>
      </w:r>
      <w:r w:rsidR="00A97F36">
        <w:rPr>
          <w:rFonts w:eastAsia="Times New Roman" w:cs="Times New Roman"/>
          <w:sz w:val="24"/>
          <w:szCs w:val="24"/>
        </w:rPr>
        <w:tab/>
      </w:r>
      <w:proofErr w:type="gramStart"/>
      <w:r w:rsidRPr="00EE69C2">
        <w:rPr>
          <w:rFonts w:eastAsia="Times New Roman" w:cs="Times New Roman"/>
          <w:sz w:val="24"/>
          <w:szCs w:val="24"/>
        </w:rPr>
        <w:t>the</w:t>
      </w:r>
      <w:proofErr w:type="gramEnd"/>
      <w:r w:rsidRPr="00EE69C2">
        <w:rPr>
          <w:rFonts w:eastAsia="Times New Roman" w:cs="Times New Roman"/>
          <w:sz w:val="24"/>
          <w:szCs w:val="24"/>
        </w:rPr>
        <w:t xml:space="preserve"> cost/benefits of the provisions of the Regulation/Directive</w:t>
      </w:r>
      <w:r w:rsidR="00DA6231" w:rsidRPr="00EE69C2">
        <w:rPr>
          <w:rFonts w:eastAsia="Times New Roman" w:cs="Times New Roman"/>
          <w:sz w:val="24"/>
          <w:szCs w:val="24"/>
        </w:rPr>
        <w:t xml:space="preserve"> s</w:t>
      </w:r>
      <w:r w:rsidR="00D92F7D" w:rsidRPr="00EE69C2">
        <w:rPr>
          <w:rFonts w:eastAsia="Times New Roman" w:cs="Times New Roman"/>
          <w:sz w:val="24"/>
          <w:szCs w:val="24"/>
        </w:rPr>
        <w:t>p</w:t>
      </w:r>
      <w:r w:rsidRPr="00EE69C2">
        <w:rPr>
          <w:rFonts w:eastAsia="Times New Roman" w:cs="Times New Roman"/>
          <w:sz w:val="24"/>
          <w:szCs w:val="24"/>
        </w:rPr>
        <w:t>ecifically r</w:t>
      </w:r>
      <w:r w:rsidR="00DA6231" w:rsidRPr="00EE69C2">
        <w:rPr>
          <w:rFonts w:eastAsia="Times New Roman" w:cs="Times New Roman"/>
          <w:sz w:val="24"/>
          <w:szCs w:val="24"/>
        </w:rPr>
        <w:t>egard</w:t>
      </w:r>
      <w:r w:rsidR="00C546D8" w:rsidRPr="00EE69C2">
        <w:rPr>
          <w:rFonts w:eastAsia="Times New Roman" w:cs="Times New Roman"/>
          <w:sz w:val="24"/>
          <w:szCs w:val="24"/>
        </w:rPr>
        <w:t>ing</w:t>
      </w:r>
      <w:r w:rsidR="00DA6231" w:rsidRPr="00EE69C2">
        <w:rPr>
          <w:rFonts w:eastAsia="Times New Roman" w:cs="Times New Roman"/>
          <w:sz w:val="24"/>
          <w:szCs w:val="24"/>
        </w:rPr>
        <w:t xml:space="preserve"> the options selected</w:t>
      </w:r>
      <w:r w:rsidRPr="00EE69C2">
        <w:rPr>
          <w:rFonts w:eastAsia="Times New Roman" w:cs="Times New Roman"/>
          <w:sz w:val="24"/>
          <w:szCs w:val="24"/>
        </w:rPr>
        <w:t xml:space="preserve"> </w:t>
      </w:r>
      <w:r w:rsidR="00A56D1D">
        <w:rPr>
          <w:rFonts w:eastAsia="Times New Roman" w:cs="Times New Roman"/>
          <w:sz w:val="24"/>
          <w:szCs w:val="24"/>
        </w:rPr>
        <w:t>or any other provisons</w:t>
      </w:r>
    </w:p>
    <w:p w:rsidR="009D1FE8" w:rsidRPr="00EE69C2" w:rsidRDefault="00706E35" w:rsidP="00A97F36">
      <w:pPr>
        <w:ind w:left="720" w:hanging="720"/>
        <w:jc w:val="both"/>
        <w:rPr>
          <w:rFonts w:eastAsia="Times New Roman" w:cs="Times New Roman"/>
          <w:sz w:val="24"/>
          <w:szCs w:val="24"/>
        </w:rPr>
      </w:pPr>
      <w:r w:rsidRPr="00EE69C2">
        <w:rPr>
          <w:rFonts w:eastAsia="Times New Roman" w:cs="Times New Roman"/>
          <w:sz w:val="24"/>
          <w:szCs w:val="24"/>
        </w:rPr>
        <w:t>(ii)</w:t>
      </w:r>
      <w:r w:rsidR="00A97F36">
        <w:rPr>
          <w:rFonts w:eastAsia="Times New Roman" w:cs="Times New Roman"/>
          <w:sz w:val="24"/>
          <w:szCs w:val="24"/>
        </w:rPr>
        <w:tab/>
      </w:r>
      <w:proofErr w:type="gramStart"/>
      <w:r w:rsidR="003C48B6" w:rsidRPr="00EE69C2">
        <w:rPr>
          <w:rFonts w:eastAsia="Times New Roman" w:cs="Times New Roman"/>
          <w:sz w:val="24"/>
          <w:szCs w:val="24"/>
        </w:rPr>
        <w:t>the</w:t>
      </w:r>
      <w:proofErr w:type="gramEnd"/>
      <w:r w:rsidR="003C48B6" w:rsidRPr="00EE69C2">
        <w:rPr>
          <w:rFonts w:eastAsia="Times New Roman" w:cs="Times New Roman"/>
          <w:sz w:val="24"/>
          <w:szCs w:val="24"/>
        </w:rPr>
        <w:t xml:space="preserve"> </w:t>
      </w:r>
      <w:r w:rsidR="003C48B6" w:rsidRPr="00EE69C2">
        <w:rPr>
          <w:rFonts w:cs="Helv"/>
          <w:color w:val="000000"/>
          <w:sz w:val="24"/>
          <w:szCs w:val="24"/>
          <w:lang w:val="en-IE"/>
        </w:rPr>
        <w:t xml:space="preserve">operability from a practical point of view of any of the provisions </w:t>
      </w:r>
      <w:r w:rsidRPr="00EE69C2">
        <w:rPr>
          <w:rFonts w:eastAsia="Times New Roman" w:cs="Times New Roman"/>
          <w:sz w:val="24"/>
          <w:szCs w:val="24"/>
        </w:rPr>
        <w:t>in the Regulation/Directive</w:t>
      </w:r>
      <w:r w:rsidR="00F61CDD" w:rsidRPr="00EE69C2">
        <w:rPr>
          <w:rFonts w:eastAsia="Times New Roman" w:cs="Times New Roman"/>
          <w:sz w:val="24"/>
          <w:szCs w:val="24"/>
        </w:rPr>
        <w:t>,</w:t>
      </w:r>
      <w:r w:rsidR="00DA6231" w:rsidRPr="00EE69C2">
        <w:rPr>
          <w:rFonts w:eastAsia="Times New Roman" w:cs="Times New Roman"/>
          <w:sz w:val="24"/>
          <w:szCs w:val="24"/>
        </w:rPr>
        <w:t xml:space="preserve"> and </w:t>
      </w:r>
    </w:p>
    <w:p w:rsidR="009D1FE8" w:rsidRPr="00EE69C2" w:rsidRDefault="00DA6231" w:rsidP="00F61CDD">
      <w:pPr>
        <w:jc w:val="both"/>
        <w:rPr>
          <w:rFonts w:eastAsia="Times New Roman" w:cs="Times New Roman"/>
          <w:sz w:val="24"/>
          <w:szCs w:val="24"/>
        </w:rPr>
      </w:pPr>
      <w:r w:rsidRPr="00EE69C2">
        <w:rPr>
          <w:rFonts w:eastAsia="Times New Roman" w:cs="Times New Roman"/>
          <w:sz w:val="24"/>
          <w:szCs w:val="24"/>
        </w:rPr>
        <w:t>(iii)</w:t>
      </w:r>
      <w:r w:rsidR="00A97F36">
        <w:rPr>
          <w:rFonts w:eastAsia="Times New Roman" w:cs="Times New Roman"/>
          <w:sz w:val="24"/>
          <w:szCs w:val="24"/>
        </w:rPr>
        <w:tab/>
      </w:r>
      <w:proofErr w:type="gramStart"/>
      <w:r w:rsidRPr="00EE69C2">
        <w:rPr>
          <w:rFonts w:eastAsia="Times New Roman" w:cs="Times New Roman"/>
          <w:sz w:val="24"/>
          <w:szCs w:val="24"/>
        </w:rPr>
        <w:t>any</w:t>
      </w:r>
      <w:proofErr w:type="gramEnd"/>
      <w:r w:rsidRPr="00EE69C2">
        <w:rPr>
          <w:rFonts w:eastAsia="Times New Roman" w:cs="Times New Roman"/>
          <w:sz w:val="24"/>
          <w:szCs w:val="24"/>
        </w:rPr>
        <w:t xml:space="preserve"> issues as regards legal interpretation</w:t>
      </w:r>
      <w:r w:rsidR="003C48B6" w:rsidRPr="00EE69C2">
        <w:rPr>
          <w:rFonts w:eastAsia="Times New Roman" w:cs="Times New Roman"/>
          <w:sz w:val="24"/>
          <w:szCs w:val="24"/>
        </w:rPr>
        <w:t>.</w:t>
      </w:r>
      <w:r w:rsidR="00014FA2" w:rsidRPr="00EE69C2">
        <w:rPr>
          <w:rFonts w:eastAsia="Times New Roman" w:cs="Times New Roman"/>
          <w:sz w:val="24"/>
          <w:szCs w:val="24"/>
        </w:rPr>
        <w:t xml:space="preserve">  </w:t>
      </w:r>
    </w:p>
    <w:p w:rsidR="009D1FE8" w:rsidRPr="00EE69C2" w:rsidRDefault="009D1FE8" w:rsidP="00F61CDD">
      <w:pPr>
        <w:jc w:val="both"/>
        <w:rPr>
          <w:rFonts w:eastAsia="Times New Roman" w:cs="Times New Roman"/>
          <w:sz w:val="24"/>
          <w:szCs w:val="24"/>
        </w:rPr>
      </w:pPr>
    </w:p>
    <w:p w:rsidR="003C48B6" w:rsidRPr="00EE69C2" w:rsidRDefault="00014FA2" w:rsidP="00F61CDD">
      <w:pPr>
        <w:jc w:val="both"/>
        <w:rPr>
          <w:rFonts w:eastAsia="Times New Roman" w:cs="Times New Roman"/>
          <w:sz w:val="24"/>
          <w:szCs w:val="24"/>
        </w:rPr>
      </w:pPr>
      <w:r w:rsidRPr="00EE69C2">
        <w:rPr>
          <w:rFonts w:eastAsia="Times New Roman" w:cs="Times New Roman"/>
          <w:sz w:val="24"/>
          <w:szCs w:val="24"/>
        </w:rPr>
        <w:t xml:space="preserve">Please </w:t>
      </w:r>
      <w:r w:rsidRPr="00EE69C2">
        <w:rPr>
          <w:rFonts w:eastAsia="Times New Roman" w:cs="Times New Roman"/>
          <w:b/>
          <w:sz w:val="24"/>
          <w:szCs w:val="24"/>
        </w:rPr>
        <w:t>distinguish</w:t>
      </w:r>
      <w:r w:rsidRPr="00EE69C2">
        <w:rPr>
          <w:rFonts w:eastAsia="Times New Roman" w:cs="Times New Roman"/>
          <w:sz w:val="24"/>
          <w:szCs w:val="24"/>
        </w:rPr>
        <w:t xml:space="preserve"> clearly in your response</w:t>
      </w:r>
      <w:r w:rsidR="00950363" w:rsidRPr="00EE69C2">
        <w:rPr>
          <w:rFonts w:eastAsia="Times New Roman" w:cs="Times New Roman"/>
          <w:sz w:val="24"/>
          <w:szCs w:val="24"/>
        </w:rPr>
        <w:t xml:space="preserve"> that your views relate to the options </w:t>
      </w:r>
      <w:r w:rsidR="00950363" w:rsidRPr="00EE69C2">
        <w:rPr>
          <w:rFonts w:eastAsia="Times New Roman" w:cs="Times New Roman"/>
          <w:b/>
          <w:sz w:val="24"/>
          <w:szCs w:val="24"/>
        </w:rPr>
        <w:t>or</w:t>
      </w:r>
      <w:r w:rsidR="00950363" w:rsidRPr="00EE69C2">
        <w:rPr>
          <w:rFonts w:eastAsia="Times New Roman" w:cs="Times New Roman"/>
          <w:sz w:val="24"/>
          <w:szCs w:val="24"/>
        </w:rPr>
        <w:t xml:space="preserve"> cost/benefits </w:t>
      </w:r>
      <w:r w:rsidR="00950363" w:rsidRPr="00EE69C2">
        <w:rPr>
          <w:rFonts w:eastAsia="Times New Roman" w:cs="Times New Roman"/>
          <w:b/>
          <w:sz w:val="24"/>
          <w:szCs w:val="24"/>
        </w:rPr>
        <w:t>or</w:t>
      </w:r>
      <w:r w:rsidR="00950363" w:rsidRPr="00EE69C2">
        <w:rPr>
          <w:rFonts w:eastAsia="Times New Roman" w:cs="Times New Roman"/>
          <w:sz w:val="24"/>
          <w:szCs w:val="24"/>
        </w:rPr>
        <w:t xml:space="preserve"> operability of provisions </w:t>
      </w:r>
      <w:r w:rsidR="00950363" w:rsidRPr="00EE69C2">
        <w:rPr>
          <w:rFonts w:eastAsia="Times New Roman" w:cs="Times New Roman"/>
          <w:b/>
          <w:sz w:val="24"/>
          <w:szCs w:val="24"/>
        </w:rPr>
        <w:t>or</w:t>
      </w:r>
      <w:r w:rsidR="00950363" w:rsidRPr="00EE69C2">
        <w:rPr>
          <w:rFonts w:eastAsia="Times New Roman" w:cs="Times New Roman"/>
          <w:sz w:val="24"/>
          <w:szCs w:val="24"/>
        </w:rPr>
        <w:t xml:space="preserve"> legal interpretation. </w:t>
      </w:r>
      <w:r w:rsidRPr="00EE69C2">
        <w:rPr>
          <w:rFonts w:eastAsia="Times New Roman" w:cs="Times New Roman"/>
          <w:sz w:val="24"/>
          <w:szCs w:val="24"/>
        </w:rPr>
        <w:t xml:space="preserve">  </w:t>
      </w:r>
      <w:r w:rsidR="003C48B6" w:rsidRPr="00EE69C2">
        <w:rPr>
          <w:rFonts w:eastAsia="Times New Roman" w:cs="Times New Roman"/>
          <w:sz w:val="24"/>
          <w:szCs w:val="24"/>
        </w:rPr>
        <w:t xml:space="preserve">  </w:t>
      </w:r>
    </w:p>
    <w:p w:rsidR="00706E35" w:rsidRPr="00EE69C2" w:rsidRDefault="00706E35" w:rsidP="00F61CDD">
      <w:pPr>
        <w:jc w:val="both"/>
        <w:rPr>
          <w:rFonts w:eastAsia="Times New Roman" w:cs="Times New Roman"/>
          <w:b/>
          <w:sz w:val="24"/>
          <w:szCs w:val="24"/>
        </w:rPr>
      </w:pPr>
    </w:p>
    <w:p w:rsidR="00A10474" w:rsidRPr="00EE69C2" w:rsidRDefault="00A10474" w:rsidP="00F61CDD">
      <w:pPr>
        <w:jc w:val="both"/>
        <w:rPr>
          <w:rFonts w:eastAsia="Times New Roman" w:cs="Times New Roman"/>
          <w:sz w:val="24"/>
          <w:szCs w:val="24"/>
        </w:rPr>
      </w:pPr>
      <w:r w:rsidRPr="00EE69C2">
        <w:rPr>
          <w:rFonts w:eastAsia="Times New Roman" w:cs="Times New Roman"/>
          <w:sz w:val="24"/>
          <w:szCs w:val="24"/>
        </w:rPr>
        <w:t xml:space="preserve">A separate box is included at the end </w:t>
      </w:r>
      <w:r w:rsidR="00F61CDD" w:rsidRPr="00EE69C2">
        <w:rPr>
          <w:rFonts w:eastAsia="Times New Roman" w:cs="Times New Roman"/>
          <w:sz w:val="24"/>
          <w:szCs w:val="24"/>
        </w:rPr>
        <w:t xml:space="preserve">of the Response Templates </w:t>
      </w:r>
      <w:r w:rsidRPr="00EE69C2">
        <w:rPr>
          <w:rFonts w:eastAsia="Times New Roman" w:cs="Times New Roman"/>
          <w:sz w:val="24"/>
          <w:szCs w:val="24"/>
        </w:rPr>
        <w:t xml:space="preserve">for any other general comments you may wish to make on any other aspect of the Regulation/Directive – again it would be appreciated if these issues are clearly </w:t>
      </w:r>
      <w:r w:rsidR="009D1FE8" w:rsidRPr="00EE69C2">
        <w:rPr>
          <w:rFonts w:eastAsia="Times New Roman" w:cs="Times New Roman"/>
          <w:sz w:val="24"/>
          <w:szCs w:val="24"/>
        </w:rPr>
        <w:t>labelled</w:t>
      </w:r>
      <w:r w:rsidRPr="00EE69C2">
        <w:rPr>
          <w:rFonts w:eastAsia="Times New Roman" w:cs="Times New Roman"/>
          <w:sz w:val="24"/>
          <w:szCs w:val="24"/>
        </w:rPr>
        <w:t>.</w:t>
      </w:r>
    </w:p>
    <w:p w:rsidR="00A10474" w:rsidRPr="00EE69C2" w:rsidRDefault="00A10474" w:rsidP="00F61CDD">
      <w:pPr>
        <w:jc w:val="both"/>
        <w:rPr>
          <w:rFonts w:eastAsia="Times New Roman" w:cs="Times New Roman"/>
          <w:b/>
          <w:sz w:val="24"/>
          <w:szCs w:val="24"/>
        </w:rPr>
      </w:pPr>
    </w:p>
    <w:p w:rsidR="003C48B6" w:rsidRPr="00EE69C2" w:rsidRDefault="003C48B6" w:rsidP="00F61CDD">
      <w:pPr>
        <w:jc w:val="both"/>
        <w:rPr>
          <w:rFonts w:eastAsia="Times New Roman" w:cs="Times New Roman"/>
          <w:b/>
          <w:i/>
          <w:sz w:val="24"/>
          <w:szCs w:val="24"/>
        </w:rPr>
      </w:pPr>
      <w:r w:rsidRPr="00EE69C2">
        <w:rPr>
          <w:rFonts w:eastAsia="Times New Roman" w:cs="Times New Roman"/>
          <w:sz w:val="24"/>
          <w:szCs w:val="24"/>
        </w:rPr>
        <w:t xml:space="preserve">There are some </w:t>
      </w:r>
      <w:r w:rsidR="00F61CDD" w:rsidRPr="00EE69C2">
        <w:rPr>
          <w:rFonts w:eastAsia="Times New Roman" w:cs="Times New Roman"/>
          <w:sz w:val="24"/>
          <w:szCs w:val="24"/>
        </w:rPr>
        <w:t>A</w:t>
      </w:r>
      <w:r w:rsidRPr="00EE69C2">
        <w:rPr>
          <w:rFonts w:eastAsia="Times New Roman" w:cs="Times New Roman"/>
          <w:sz w:val="24"/>
          <w:szCs w:val="24"/>
        </w:rPr>
        <w:t xml:space="preserve">rticles in respect of which the EU Commission has been requested to provide legal clarification.  </w:t>
      </w:r>
      <w:r w:rsidR="00BE666C" w:rsidRPr="00EE69C2">
        <w:rPr>
          <w:rFonts w:eastAsia="Times New Roman" w:cs="Times New Roman"/>
          <w:sz w:val="24"/>
          <w:szCs w:val="24"/>
        </w:rPr>
        <w:t>EU Workshops held over the coming time will help the process of clarification.</w:t>
      </w:r>
      <w:r w:rsidR="004C5BA2">
        <w:rPr>
          <w:rFonts w:eastAsia="Times New Roman" w:cs="Times New Roman"/>
          <w:sz w:val="24"/>
          <w:szCs w:val="24"/>
        </w:rPr>
        <w:t xml:space="preserve">  The EU Commission is making available some of its </w:t>
      </w:r>
      <w:r w:rsidRPr="00EE69C2">
        <w:rPr>
          <w:rFonts w:eastAsia="Times New Roman" w:cs="Times New Roman"/>
          <w:sz w:val="24"/>
          <w:szCs w:val="24"/>
        </w:rPr>
        <w:t>clarification</w:t>
      </w:r>
      <w:r w:rsidR="004C5BA2">
        <w:rPr>
          <w:rFonts w:eastAsia="Times New Roman" w:cs="Times New Roman"/>
          <w:sz w:val="24"/>
          <w:szCs w:val="24"/>
        </w:rPr>
        <w:t xml:space="preserve">s on its website </w:t>
      </w:r>
      <w:hyperlink r:id="rId6" w:history="1">
        <w:r w:rsidR="004C5BA2" w:rsidRPr="00A20B9E">
          <w:rPr>
            <w:rStyle w:val="Hyperlink"/>
            <w:rFonts w:eastAsia="Times New Roman" w:cs="Times New Roman"/>
            <w:sz w:val="24"/>
            <w:szCs w:val="24"/>
          </w:rPr>
          <w:t>http://ec.europa.eu/internal_market/auditing/reform/index_en.htm</w:t>
        </w:r>
      </w:hyperlink>
      <w:r w:rsidR="004C5BA2">
        <w:rPr>
          <w:rFonts w:eastAsia="Times New Roman" w:cs="Times New Roman"/>
          <w:sz w:val="24"/>
          <w:szCs w:val="24"/>
        </w:rPr>
        <w:t xml:space="preserve"> and it is advisable to access this website for any updates during the course of the consultation period</w:t>
      </w:r>
      <w:r w:rsidR="00322E96" w:rsidRPr="00EE69C2">
        <w:rPr>
          <w:rFonts w:eastAsia="Times New Roman" w:cs="Times New Roman"/>
          <w:sz w:val="24"/>
          <w:szCs w:val="24"/>
        </w:rPr>
        <w:t>.</w:t>
      </w:r>
      <w:r w:rsidR="004C5BA2">
        <w:rPr>
          <w:rFonts w:eastAsia="Times New Roman" w:cs="Times New Roman"/>
          <w:sz w:val="24"/>
          <w:szCs w:val="24"/>
        </w:rPr>
        <w:t xml:space="preserve">  A copy of the Regulation and Directive </w:t>
      </w:r>
      <w:r w:rsidR="007A4F36">
        <w:rPr>
          <w:rFonts w:eastAsia="Times New Roman" w:cs="Times New Roman"/>
          <w:sz w:val="24"/>
          <w:szCs w:val="24"/>
        </w:rPr>
        <w:t>is also</w:t>
      </w:r>
      <w:r w:rsidR="004C5BA2">
        <w:rPr>
          <w:rFonts w:eastAsia="Times New Roman" w:cs="Times New Roman"/>
          <w:sz w:val="24"/>
          <w:szCs w:val="24"/>
        </w:rPr>
        <w:t xml:space="preserve"> available on this website.</w:t>
      </w:r>
    </w:p>
    <w:p w:rsidR="003C48B6" w:rsidRPr="00EE69C2" w:rsidRDefault="003C48B6" w:rsidP="00F61CDD">
      <w:pPr>
        <w:jc w:val="both"/>
        <w:rPr>
          <w:rFonts w:eastAsia="Times New Roman" w:cs="Times New Roman"/>
          <w:b/>
          <w:i/>
          <w:sz w:val="24"/>
          <w:szCs w:val="24"/>
        </w:rPr>
      </w:pPr>
    </w:p>
    <w:p w:rsidR="003C48B6" w:rsidRPr="00EE69C2" w:rsidRDefault="003C48B6" w:rsidP="00F61CDD">
      <w:pPr>
        <w:jc w:val="both"/>
        <w:rPr>
          <w:rFonts w:eastAsia="Times New Roman" w:cs="Times New Roman"/>
          <w:sz w:val="24"/>
          <w:szCs w:val="24"/>
        </w:rPr>
      </w:pPr>
      <w:r w:rsidRPr="00EE69C2">
        <w:rPr>
          <w:rFonts w:eastAsia="Times New Roman" w:cs="Times New Roman"/>
          <w:sz w:val="24"/>
          <w:szCs w:val="24"/>
        </w:rPr>
        <w:t xml:space="preserve">When responding, please indicate whether you are responding as an individual or representing the views of an organisation.  </w:t>
      </w:r>
    </w:p>
    <w:p w:rsidR="003C48B6" w:rsidRPr="00EE69C2" w:rsidRDefault="003C48B6" w:rsidP="00F61CDD">
      <w:pPr>
        <w:jc w:val="both"/>
        <w:rPr>
          <w:rFonts w:eastAsia="Times New Roman" w:cs="Times New Roman"/>
          <w:sz w:val="24"/>
          <w:szCs w:val="24"/>
        </w:rPr>
      </w:pPr>
    </w:p>
    <w:p w:rsidR="003C48B6" w:rsidRPr="00EE69C2" w:rsidRDefault="003C48B6" w:rsidP="00F61CDD">
      <w:pPr>
        <w:jc w:val="both"/>
        <w:rPr>
          <w:rFonts w:eastAsia="Times New Roman" w:cs="Times New Roman"/>
          <w:sz w:val="24"/>
          <w:szCs w:val="24"/>
        </w:rPr>
      </w:pPr>
      <w:r w:rsidRPr="00EE69C2">
        <w:rPr>
          <w:rFonts w:eastAsia="Times New Roman" w:cs="Times New Roman"/>
          <w:sz w:val="24"/>
          <w:szCs w:val="24"/>
        </w:rPr>
        <w:t xml:space="preserve">The deadline for submissions is </w:t>
      </w:r>
      <w:r w:rsidRPr="00EE69C2">
        <w:rPr>
          <w:rFonts w:eastAsia="Times New Roman" w:cs="Times New Roman"/>
          <w:b/>
          <w:sz w:val="24"/>
          <w:szCs w:val="24"/>
        </w:rPr>
        <w:t xml:space="preserve">Friday, </w:t>
      </w:r>
      <w:r w:rsidR="00A10474" w:rsidRPr="00EE69C2">
        <w:rPr>
          <w:rFonts w:eastAsia="Times New Roman" w:cs="Times New Roman"/>
          <w:b/>
          <w:sz w:val="24"/>
          <w:szCs w:val="24"/>
        </w:rPr>
        <w:t>21</w:t>
      </w:r>
      <w:r w:rsidRPr="00EE69C2">
        <w:rPr>
          <w:rFonts w:eastAsia="Times New Roman" w:cs="Times New Roman"/>
          <w:b/>
          <w:sz w:val="24"/>
          <w:szCs w:val="24"/>
        </w:rPr>
        <w:t xml:space="preserve"> </w:t>
      </w:r>
      <w:r w:rsidR="00A10474" w:rsidRPr="00EE69C2">
        <w:rPr>
          <w:rFonts w:eastAsia="Times New Roman" w:cs="Times New Roman"/>
          <w:b/>
          <w:sz w:val="24"/>
          <w:szCs w:val="24"/>
        </w:rPr>
        <w:t>November</w:t>
      </w:r>
      <w:r w:rsidRPr="00EE69C2">
        <w:rPr>
          <w:rFonts w:eastAsia="Times New Roman" w:cs="Times New Roman"/>
          <w:b/>
          <w:sz w:val="24"/>
          <w:szCs w:val="24"/>
        </w:rPr>
        <w:t xml:space="preserve"> 2014</w:t>
      </w:r>
      <w:r w:rsidRPr="00EE69C2">
        <w:rPr>
          <w:rFonts w:eastAsia="Times New Roman" w:cs="Times New Roman"/>
          <w:sz w:val="24"/>
          <w:szCs w:val="24"/>
        </w:rPr>
        <w:t>.</w:t>
      </w:r>
    </w:p>
    <w:p w:rsidR="003C48B6" w:rsidRPr="00EE69C2" w:rsidRDefault="003C48B6" w:rsidP="00F61CDD">
      <w:pPr>
        <w:jc w:val="both"/>
        <w:rPr>
          <w:rFonts w:eastAsia="Times New Roman" w:cs="Times New Roman"/>
          <w:b/>
          <w:sz w:val="24"/>
          <w:szCs w:val="24"/>
        </w:rPr>
      </w:pPr>
    </w:p>
    <w:p w:rsidR="003C48B6" w:rsidRPr="00EE69C2" w:rsidRDefault="003C48B6" w:rsidP="00F61CDD">
      <w:pPr>
        <w:jc w:val="both"/>
        <w:rPr>
          <w:rFonts w:eastAsia="Times New Roman" w:cs="Times New Roman"/>
          <w:sz w:val="24"/>
          <w:szCs w:val="24"/>
        </w:rPr>
      </w:pPr>
      <w:r w:rsidRPr="00EE69C2">
        <w:rPr>
          <w:rFonts w:eastAsia="Times New Roman" w:cs="Times New Roman"/>
          <w:sz w:val="24"/>
          <w:szCs w:val="24"/>
        </w:rPr>
        <w:lastRenderedPageBreak/>
        <w:t xml:space="preserve">Submissions, </w:t>
      </w:r>
      <w:r w:rsidR="00040D89">
        <w:rPr>
          <w:rFonts w:eastAsia="Times New Roman" w:cs="Times New Roman"/>
          <w:sz w:val="24"/>
          <w:szCs w:val="24"/>
        </w:rPr>
        <w:t>to include</w:t>
      </w:r>
      <w:r w:rsidRPr="00EE69C2">
        <w:rPr>
          <w:rFonts w:eastAsia="Times New Roman" w:cs="Times New Roman"/>
          <w:sz w:val="24"/>
          <w:szCs w:val="24"/>
        </w:rPr>
        <w:t xml:space="preserve"> comments on or questions about the Regulation</w:t>
      </w:r>
      <w:r w:rsidR="00F61CDD" w:rsidRPr="00EE69C2">
        <w:rPr>
          <w:rFonts w:eastAsia="Times New Roman" w:cs="Times New Roman"/>
          <w:sz w:val="24"/>
          <w:szCs w:val="24"/>
        </w:rPr>
        <w:t>/Directive</w:t>
      </w:r>
      <w:r w:rsidRPr="00EE69C2">
        <w:rPr>
          <w:rFonts w:eastAsia="Times New Roman" w:cs="Times New Roman"/>
          <w:sz w:val="24"/>
          <w:szCs w:val="24"/>
        </w:rPr>
        <w:t xml:space="preserve">, should </w:t>
      </w:r>
      <w:r w:rsidR="00040D89">
        <w:rPr>
          <w:rFonts w:eastAsia="Times New Roman" w:cs="Times New Roman"/>
          <w:sz w:val="24"/>
          <w:szCs w:val="24"/>
        </w:rPr>
        <w:t xml:space="preserve">preferably </w:t>
      </w:r>
      <w:bookmarkStart w:id="0" w:name="_GoBack"/>
      <w:bookmarkEnd w:id="0"/>
      <w:r w:rsidRPr="00EE69C2">
        <w:rPr>
          <w:rFonts w:eastAsia="Times New Roman" w:cs="Times New Roman"/>
          <w:sz w:val="24"/>
          <w:szCs w:val="24"/>
        </w:rPr>
        <w:t xml:space="preserve">be sent by </w:t>
      </w:r>
      <w:r w:rsidRPr="007A4F36">
        <w:rPr>
          <w:rFonts w:eastAsia="Times New Roman" w:cs="Times New Roman"/>
          <w:b/>
          <w:sz w:val="24"/>
          <w:szCs w:val="24"/>
        </w:rPr>
        <w:t>e-mail</w:t>
      </w:r>
      <w:r w:rsidRPr="00EE69C2">
        <w:rPr>
          <w:rFonts w:eastAsia="Times New Roman" w:cs="Times New Roman"/>
          <w:sz w:val="24"/>
          <w:szCs w:val="24"/>
        </w:rPr>
        <w:t xml:space="preserve"> </w:t>
      </w:r>
      <w:r w:rsidR="00E05850" w:rsidRPr="00EE69C2">
        <w:rPr>
          <w:rFonts w:eastAsia="Times New Roman" w:cs="Times New Roman"/>
          <w:sz w:val="24"/>
          <w:szCs w:val="24"/>
        </w:rPr>
        <w:t xml:space="preserve">and hard copies can be sent by post </w:t>
      </w:r>
      <w:r w:rsidRPr="00EE69C2">
        <w:rPr>
          <w:rFonts w:eastAsia="Times New Roman" w:cs="Times New Roman"/>
          <w:sz w:val="24"/>
          <w:szCs w:val="24"/>
        </w:rPr>
        <w:t>to Marie Dempsey</w:t>
      </w:r>
      <w:r w:rsidR="00E05850" w:rsidRPr="00EE69C2">
        <w:rPr>
          <w:rFonts w:eastAsia="Times New Roman" w:cs="Times New Roman"/>
          <w:sz w:val="24"/>
          <w:szCs w:val="24"/>
        </w:rPr>
        <w:t xml:space="preserve"> </w:t>
      </w:r>
    </w:p>
    <w:p w:rsidR="00E05850" w:rsidRPr="00EE69C2" w:rsidRDefault="00E05850" w:rsidP="00F61CDD">
      <w:pPr>
        <w:jc w:val="both"/>
        <w:rPr>
          <w:rFonts w:eastAsia="Times New Roman" w:cs="Times New Roman"/>
          <w:sz w:val="24"/>
          <w:szCs w:val="24"/>
        </w:rPr>
      </w:pPr>
    </w:p>
    <w:p w:rsidR="003C48B6" w:rsidRPr="00EE69C2" w:rsidRDefault="003C48B6" w:rsidP="00F61CDD">
      <w:pPr>
        <w:pStyle w:val="Default"/>
        <w:jc w:val="both"/>
        <w:rPr>
          <w:rFonts w:asciiTheme="minorHAnsi" w:hAnsiTheme="minorHAnsi"/>
        </w:rPr>
      </w:pPr>
      <w:r w:rsidRPr="00EE69C2">
        <w:rPr>
          <w:rFonts w:asciiTheme="minorHAnsi" w:hAnsiTheme="minorHAnsi"/>
        </w:rPr>
        <w:t>E-mail:</w:t>
      </w:r>
      <w:r w:rsidRPr="00EE69C2">
        <w:rPr>
          <w:rFonts w:asciiTheme="minorHAnsi" w:hAnsiTheme="minorHAnsi"/>
        </w:rPr>
        <w:tab/>
      </w:r>
      <w:r w:rsidRPr="00EE69C2">
        <w:rPr>
          <w:rFonts w:asciiTheme="minorHAnsi" w:hAnsiTheme="minorHAnsi"/>
        </w:rPr>
        <w:tab/>
        <w:t xml:space="preserve"> </w:t>
      </w:r>
      <w:hyperlink r:id="rId7" w:history="1">
        <w:r w:rsidRPr="00EE69C2">
          <w:rPr>
            <w:rStyle w:val="Hyperlink"/>
            <w:rFonts w:asciiTheme="minorHAnsi" w:hAnsiTheme="minorHAnsi"/>
          </w:rPr>
          <w:t>Marie.Dempsey@djei.ie</w:t>
        </w:r>
      </w:hyperlink>
      <w:r w:rsidRPr="00EE69C2">
        <w:rPr>
          <w:rFonts w:asciiTheme="minorHAnsi" w:hAnsiTheme="minorHAnsi"/>
        </w:rPr>
        <w:t xml:space="preserve"> </w:t>
      </w:r>
    </w:p>
    <w:p w:rsidR="003C48B6" w:rsidRPr="00EE69C2" w:rsidRDefault="003C48B6" w:rsidP="00F61CDD">
      <w:pPr>
        <w:pStyle w:val="Default"/>
        <w:jc w:val="both"/>
        <w:rPr>
          <w:rFonts w:asciiTheme="minorHAnsi" w:hAnsiTheme="minorHAnsi"/>
        </w:rPr>
      </w:pPr>
    </w:p>
    <w:p w:rsidR="003C48B6" w:rsidRPr="00EE69C2" w:rsidRDefault="003C48B6" w:rsidP="00F61CDD">
      <w:pPr>
        <w:pStyle w:val="Default"/>
        <w:jc w:val="both"/>
        <w:rPr>
          <w:rFonts w:asciiTheme="minorHAnsi" w:hAnsiTheme="minorHAnsi"/>
        </w:rPr>
      </w:pPr>
      <w:r w:rsidRPr="00EE69C2">
        <w:rPr>
          <w:rFonts w:asciiTheme="minorHAnsi" w:hAnsiTheme="minorHAnsi"/>
        </w:rPr>
        <w:t xml:space="preserve">Post:  </w:t>
      </w:r>
      <w:r w:rsidRPr="00EE69C2">
        <w:rPr>
          <w:rFonts w:asciiTheme="minorHAnsi" w:hAnsiTheme="minorHAnsi"/>
        </w:rPr>
        <w:tab/>
      </w:r>
      <w:r w:rsidRPr="00EE69C2">
        <w:rPr>
          <w:rFonts w:asciiTheme="minorHAnsi" w:hAnsiTheme="minorHAnsi"/>
        </w:rPr>
        <w:tab/>
        <w:t xml:space="preserve">Company Law  </w:t>
      </w:r>
    </w:p>
    <w:p w:rsidR="003C48B6" w:rsidRPr="00EE69C2" w:rsidRDefault="003C48B6" w:rsidP="00F61CDD">
      <w:pPr>
        <w:pStyle w:val="Default"/>
        <w:ind w:left="720" w:firstLine="720"/>
        <w:jc w:val="both"/>
        <w:rPr>
          <w:rFonts w:asciiTheme="minorHAnsi" w:hAnsiTheme="minorHAnsi"/>
        </w:rPr>
      </w:pPr>
      <w:r w:rsidRPr="00EE69C2">
        <w:rPr>
          <w:rFonts w:asciiTheme="minorHAnsi" w:hAnsiTheme="minorHAnsi"/>
        </w:rPr>
        <w:t xml:space="preserve">Department of Jobs, Enterprise and Innovation </w:t>
      </w:r>
    </w:p>
    <w:p w:rsidR="003C48B6" w:rsidRPr="00EE69C2" w:rsidRDefault="003C48B6" w:rsidP="00F61CDD">
      <w:pPr>
        <w:pStyle w:val="Default"/>
        <w:ind w:left="720" w:firstLine="720"/>
        <w:jc w:val="both"/>
        <w:rPr>
          <w:rFonts w:asciiTheme="minorHAnsi" w:hAnsiTheme="minorHAnsi"/>
        </w:rPr>
      </w:pPr>
      <w:r w:rsidRPr="00EE69C2">
        <w:rPr>
          <w:rFonts w:asciiTheme="minorHAnsi" w:hAnsiTheme="minorHAnsi"/>
        </w:rPr>
        <w:t xml:space="preserve">Earlsfort Centre </w:t>
      </w:r>
    </w:p>
    <w:p w:rsidR="003C48B6" w:rsidRPr="00EE69C2" w:rsidRDefault="003C48B6" w:rsidP="00F61CDD">
      <w:pPr>
        <w:pStyle w:val="Default"/>
        <w:ind w:left="720" w:firstLine="720"/>
        <w:jc w:val="both"/>
        <w:rPr>
          <w:rFonts w:asciiTheme="minorHAnsi" w:hAnsiTheme="minorHAnsi"/>
        </w:rPr>
      </w:pPr>
      <w:r w:rsidRPr="00EE69C2">
        <w:rPr>
          <w:rFonts w:asciiTheme="minorHAnsi" w:hAnsiTheme="minorHAnsi"/>
        </w:rPr>
        <w:t xml:space="preserve">Lower Hatch Street </w:t>
      </w:r>
    </w:p>
    <w:p w:rsidR="003C48B6" w:rsidRPr="00EE69C2" w:rsidRDefault="003C48B6" w:rsidP="00F61CDD">
      <w:pPr>
        <w:pStyle w:val="Default"/>
        <w:ind w:left="720" w:firstLine="720"/>
        <w:jc w:val="both"/>
        <w:rPr>
          <w:rFonts w:asciiTheme="minorHAnsi" w:hAnsiTheme="minorHAnsi"/>
        </w:rPr>
      </w:pPr>
      <w:r w:rsidRPr="00EE69C2">
        <w:rPr>
          <w:rFonts w:asciiTheme="minorHAnsi" w:hAnsiTheme="minorHAnsi"/>
        </w:rPr>
        <w:t xml:space="preserve">Dublin 2 </w:t>
      </w:r>
    </w:p>
    <w:p w:rsidR="003C48B6" w:rsidRPr="00EE69C2" w:rsidRDefault="003C48B6" w:rsidP="00F61CDD">
      <w:pPr>
        <w:pStyle w:val="Default"/>
        <w:jc w:val="both"/>
        <w:rPr>
          <w:rFonts w:asciiTheme="minorHAnsi" w:hAnsiTheme="minorHAnsi"/>
        </w:rPr>
      </w:pPr>
    </w:p>
    <w:p w:rsidR="003C48B6" w:rsidRPr="00EE69C2" w:rsidRDefault="003C48B6" w:rsidP="00F61CDD">
      <w:pPr>
        <w:pStyle w:val="Default"/>
        <w:jc w:val="both"/>
        <w:rPr>
          <w:rFonts w:asciiTheme="minorHAnsi" w:hAnsiTheme="minorHAnsi"/>
        </w:rPr>
      </w:pPr>
      <w:r w:rsidRPr="00EE69C2">
        <w:rPr>
          <w:rFonts w:asciiTheme="minorHAnsi" w:hAnsiTheme="minorHAnsi"/>
        </w:rPr>
        <w:t>Telephone:</w:t>
      </w:r>
      <w:r w:rsidRPr="00EE69C2">
        <w:rPr>
          <w:rFonts w:asciiTheme="minorHAnsi" w:hAnsiTheme="minorHAnsi"/>
        </w:rPr>
        <w:tab/>
        <w:t xml:space="preserve">01-6312719 </w:t>
      </w:r>
    </w:p>
    <w:p w:rsidR="003C48B6" w:rsidRPr="00EE69C2" w:rsidRDefault="003C48B6" w:rsidP="00F61CDD">
      <w:pPr>
        <w:pStyle w:val="Default"/>
        <w:jc w:val="both"/>
        <w:rPr>
          <w:rFonts w:asciiTheme="minorHAnsi" w:hAnsiTheme="minorHAnsi"/>
          <w:b/>
          <w:bCs/>
        </w:rPr>
      </w:pPr>
    </w:p>
    <w:p w:rsidR="003C48B6" w:rsidRPr="00EE69C2" w:rsidRDefault="003C48B6" w:rsidP="00F61CDD">
      <w:pPr>
        <w:pStyle w:val="Default"/>
        <w:jc w:val="both"/>
        <w:rPr>
          <w:rFonts w:asciiTheme="minorHAnsi" w:hAnsiTheme="minorHAnsi"/>
          <w:b/>
          <w:bCs/>
        </w:rPr>
      </w:pPr>
    </w:p>
    <w:p w:rsidR="0065559A" w:rsidRPr="00EE69C2" w:rsidRDefault="0065559A" w:rsidP="00F61CDD">
      <w:pPr>
        <w:pStyle w:val="Default"/>
        <w:jc w:val="both"/>
        <w:rPr>
          <w:rFonts w:asciiTheme="minorHAnsi" w:hAnsiTheme="minorHAnsi"/>
          <w:b/>
          <w:bCs/>
        </w:rPr>
      </w:pPr>
    </w:p>
    <w:p w:rsidR="0065559A" w:rsidRPr="00EE69C2" w:rsidRDefault="0065559A" w:rsidP="00F61CDD">
      <w:pPr>
        <w:pStyle w:val="Default"/>
        <w:jc w:val="both"/>
        <w:rPr>
          <w:rFonts w:asciiTheme="minorHAnsi" w:hAnsiTheme="minorHAnsi"/>
          <w:b/>
          <w:bCs/>
        </w:rPr>
      </w:pPr>
    </w:p>
    <w:p w:rsidR="0065559A" w:rsidRPr="00EE69C2" w:rsidRDefault="0065559A" w:rsidP="00F61CDD">
      <w:pPr>
        <w:pStyle w:val="Default"/>
        <w:jc w:val="both"/>
        <w:rPr>
          <w:rFonts w:asciiTheme="minorHAnsi" w:hAnsiTheme="minorHAnsi"/>
          <w:b/>
          <w:bCs/>
        </w:rPr>
      </w:pPr>
    </w:p>
    <w:p w:rsidR="003C48B6" w:rsidRPr="00EE69C2" w:rsidRDefault="003C48B6" w:rsidP="00F61CDD">
      <w:pPr>
        <w:widowControl/>
        <w:autoSpaceDE w:val="0"/>
        <w:autoSpaceDN w:val="0"/>
        <w:adjustRightInd w:val="0"/>
        <w:rPr>
          <w:rFonts w:cs="Calibri,Bold"/>
          <w:b/>
          <w:bCs/>
          <w:sz w:val="24"/>
          <w:szCs w:val="24"/>
          <w:lang w:val="en-IE"/>
        </w:rPr>
      </w:pPr>
      <w:r w:rsidRPr="00EE69C2">
        <w:rPr>
          <w:rFonts w:cs="Calibri,Bold"/>
          <w:b/>
          <w:bCs/>
          <w:sz w:val="24"/>
          <w:szCs w:val="24"/>
          <w:lang w:val="en-IE"/>
        </w:rPr>
        <w:t>Publication of Responses to Consultation Paper</w:t>
      </w:r>
    </w:p>
    <w:p w:rsidR="003C48B6" w:rsidRPr="00EE69C2" w:rsidRDefault="003C48B6" w:rsidP="00F61CDD">
      <w:pPr>
        <w:widowControl/>
        <w:autoSpaceDE w:val="0"/>
        <w:autoSpaceDN w:val="0"/>
        <w:adjustRightInd w:val="0"/>
        <w:jc w:val="both"/>
        <w:rPr>
          <w:bCs/>
          <w:sz w:val="24"/>
          <w:szCs w:val="24"/>
        </w:rPr>
      </w:pPr>
      <w:r w:rsidRPr="00EE69C2">
        <w:rPr>
          <w:rFonts w:cs="Calibri,Bold"/>
          <w:bCs/>
          <w:sz w:val="24"/>
          <w:szCs w:val="24"/>
          <w:lang w:val="en-IE"/>
        </w:rPr>
        <w:t>It is proposed to make the responses to the consultation paper available on the Department of Jobs, Enterprise and Innovation</w:t>
      </w:r>
      <w:r w:rsidR="00E05850" w:rsidRPr="00EE69C2">
        <w:rPr>
          <w:rFonts w:cs="Calibri,Bold"/>
          <w:bCs/>
          <w:sz w:val="24"/>
          <w:szCs w:val="24"/>
          <w:lang w:val="en-IE"/>
        </w:rPr>
        <w:t>’s</w:t>
      </w:r>
      <w:r w:rsidRPr="00EE69C2">
        <w:rPr>
          <w:rFonts w:cs="Calibri,Bold"/>
          <w:bCs/>
          <w:sz w:val="24"/>
          <w:szCs w:val="24"/>
          <w:lang w:val="en-IE"/>
        </w:rPr>
        <w:t xml:space="preserve"> website.</w:t>
      </w:r>
      <w:r w:rsidR="00E05850" w:rsidRPr="00EE69C2">
        <w:rPr>
          <w:rFonts w:cs="Calibri,Bold"/>
          <w:bCs/>
          <w:sz w:val="24"/>
          <w:szCs w:val="24"/>
          <w:lang w:val="en-IE"/>
        </w:rPr>
        <w:t xml:space="preserve"> </w:t>
      </w:r>
      <w:r w:rsidRPr="00EE69C2">
        <w:rPr>
          <w:rFonts w:cs="Calibri,Bold"/>
          <w:bCs/>
          <w:sz w:val="24"/>
          <w:szCs w:val="24"/>
          <w:lang w:val="en-IE"/>
        </w:rPr>
        <w:t xml:space="preserve"> Any material contained in submissions made in response to the consultation that respondents do not wish to be made public in this way should be clearly identified as confidential in the submission.</w:t>
      </w:r>
      <w:r w:rsidR="00E05850" w:rsidRPr="00EE69C2">
        <w:rPr>
          <w:rFonts w:cs="Calibri,Bold"/>
          <w:bCs/>
          <w:sz w:val="24"/>
          <w:szCs w:val="24"/>
          <w:lang w:val="en-IE"/>
        </w:rPr>
        <w:t xml:space="preserve">  The Department will consult with </w:t>
      </w:r>
      <w:r w:rsidR="007A4F36">
        <w:rPr>
          <w:rFonts w:cs="Calibri,Bold"/>
          <w:bCs/>
          <w:sz w:val="24"/>
          <w:szCs w:val="24"/>
          <w:lang w:val="en-IE"/>
        </w:rPr>
        <w:t>respondents</w:t>
      </w:r>
      <w:r w:rsidR="00E05850" w:rsidRPr="00EE69C2">
        <w:rPr>
          <w:rFonts w:cs="Calibri,Bold"/>
          <w:bCs/>
          <w:sz w:val="24"/>
          <w:szCs w:val="24"/>
          <w:lang w:val="en-IE"/>
        </w:rPr>
        <w:t xml:space="preserve"> regarding such information before making a decision to disclose it either on its website or following a request under the Freedom of Information Act 1997 (as amended).</w:t>
      </w:r>
    </w:p>
    <w:p w:rsidR="003C48B6" w:rsidRPr="00EE69C2" w:rsidRDefault="003C48B6" w:rsidP="00F61CDD">
      <w:pPr>
        <w:pStyle w:val="Default"/>
        <w:jc w:val="both"/>
        <w:rPr>
          <w:rFonts w:asciiTheme="minorHAnsi" w:hAnsiTheme="minorHAnsi"/>
          <w:b/>
          <w:bCs/>
        </w:rPr>
      </w:pPr>
    </w:p>
    <w:p w:rsidR="003C48B6" w:rsidRPr="00EE69C2" w:rsidRDefault="003C48B6" w:rsidP="00F61CDD">
      <w:pPr>
        <w:pStyle w:val="Default"/>
        <w:rPr>
          <w:rFonts w:asciiTheme="minorHAnsi" w:hAnsiTheme="minorHAnsi"/>
          <w:b/>
          <w:bCs/>
        </w:rPr>
      </w:pPr>
    </w:p>
    <w:p w:rsidR="00D0519C" w:rsidRDefault="00040D89" w:rsidP="00F61CDD">
      <w:pPr>
        <w:rPr>
          <w:sz w:val="24"/>
          <w:szCs w:val="24"/>
        </w:rPr>
      </w:pPr>
    </w:p>
    <w:p w:rsidR="00A97F36" w:rsidRDefault="00A97F36" w:rsidP="00F61CDD">
      <w:pPr>
        <w:rPr>
          <w:sz w:val="24"/>
          <w:szCs w:val="24"/>
        </w:rPr>
      </w:pPr>
    </w:p>
    <w:p w:rsidR="00A97F36" w:rsidRDefault="00A97F36" w:rsidP="00F61CDD">
      <w:pPr>
        <w:rPr>
          <w:sz w:val="24"/>
          <w:szCs w:val="24"/>
        </w:rPr>
      </w:pPr>
    </w:p>
    <w:p w:rsidR="00A97F36" w:rsidRDefault="00A97F36" w:rsidP="00F61CDD">
      <w:pPr>
        <w:rPr>
          <w:sz w:val="24"/>
          <w:szCs w:val="24"/>
        </w:rPr>
      </w:pPr>
    </w:p>
    <w:p w:rsidR="00A97F36" w:rsidRDefault="00A97F36" w:rsidP="00F61CDD">
      <w:pPr>
        <w:rPr>
          <w:sz w:val="24"/>
          <w:szCs w:val="24"/>
        </w:rPr>
      </w:pPr>
    </w:p>
    <w:p w:rsidR="00A97F36" w:rsidRPr="00EE69C2" w:rsidRDefault="00A97F36" w:rsidP="00F61CDD">
      <w:pPr>
        <w:rPr>
          <w:sz w:val="24"/>
          <w:szCs w:val="24"/>
        </w:rPr>
      </w:pPr>
    </w:p>
    <w:p w:rsidR="00A10474" w:rsidRPr="00EE69C2" w:rsidRDefault="00A10474" w:rsidP="00F61CDD">
      <w:pPr>
        <w:rPr>
          <w:sz w:val="24"/>
          <w:szCs w:val="24"/>
        </w:rPr>
      </w:pPr>
    </w:p>
    <w:p w:rsidR="00A10474" w:rsidRPr="00EE69C2" w:rsidRDefault="00A10474" w:rsidP="00F61CDD">
      <w:pPr>
        <w:rPr>
          <w:sz w:val="24"/>
          <w:szCs w:val="24"/>
        </w:rPr>
      </w:pPr>
    </w:p>
    <w:p w:rsidR="00A10474" w:rsidRPr="00EE69C2" w:rsidRDefault="00A10474" w:rsidP="00F61CDD">
      <w:pPr>
        <w:rPr>
          <w:sz w:val="24"/>
          <w:szCs w:val="24"/>
        </w:rPr>
      </w:pPr>
    </w:p>
    <w:p w:rsidR="00A10474" w:rsidRPr="00EE69C2" w:rsidRDefault="00A10474" w:rsidP="00F61CDD">
      <w:pPr>
        <w:rPr>
          <w:sz w:val="24"/>
          <w:szCs w:val="24"/>
        </w:rPr>
      </w:pPr>
      <w:r w:rsidRPr="00EE69C2">
        <w:rPr>
          <w:sz w:val="24"/>
          <w:szCs w:val="24"/>
        </w:rPr>
        <w:t>October, 2014</w:t>
      </w:r>
    </w:p>
    <w:sectPr w:rsidR="00A10474" w:rsidRPr="00EE6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742"/>
    <w:multiLevelType w:val="hybridMultilevel"/>
    <w:tmpl w:val="26504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2110132"/>
    <w:multiLevelType w:val="hybridMultilevel"/>
    <w:tmpl w:val="351CDE42"/>
    <w:lvl w:ilvl="0" w:tplc="67DA826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B6"/>
    <w:rsid w:val="00000A49"/>
    <w:rsid w:val="00002D15"/>
    <w:rsid w:val="00014FA2"/>
    <w:rsid w:val="00040D89"/>
    <w:rsid w:val="000A0F70"/>
    <w:rsid w:val="002818CA"/>
    <w:rsid w:val="002D7742"/>
    <w:rsid w:val="0030156A"/>
    <w:rsid w:val="00322E96"/>
    <w:rsid w:val="00334CD9"/>
    <w:rsid w:val="003A2C7C"/>
    <w:rsid w:val="003B0410"/>
    <w:rsid w:val="003C48B6"/>
    <w:rsid w:val="00490F5A"/>
    <w:rsid w:val="004C5BA2"/>
    <w:rsid w:val="004D44DF"/>
    <w:rsid w:val="00594426"/>
    <w:rsid w:val="00603516"/>
    <w:rsid w:val="0065559A"/>
    <w:rsid w:val="006866DA"/>
    <w:rsid w:val="006B257A"/>
    <w:rsid w:val="00706E35"/>
    <w:rsid w:val="00770CCC"/>
    <w:rsid w:val="007A4F36"/>
    <w:rsid w:val="00921A1F"/>
    <w:rsid w:val="00950363"/>
    <w:rsid w:val="009D1FE8"/>
    <w:rsid w:val="00A10474"/>
    <w:rsid w:val="00A56D1D"/>
    <w:rsid w:val="00A97F36"/>
    <w:rsid w:val="00BD3706"/>
    <w:rsid w:val="00BE666C"/>
    <w:rsid w:val="00BF7836"/>
    <w:rsid w:val="00C35F71"/>
    <w:rsid w:val="00C546D8"/>
    <w:rsid w:val="00D53EB9"/>
    <w:rsid w:val="00D61D6B"/>
    <w:rsid w:val="00D833D7"/>
    <w:rsid w:val="00D92F7D"/>
    <w:rsid w:val="00DA6231"/>
    <w:rsid w:val="00DB667E"/>
    <w:rsid w:val="00E05850"/>
    <w:rsid w:val="00E26C5F"/>
    <w:rsid w:val="00EE69C2"/>
    <w:rsid w:val="00F071CB"/>
    <w:rsid w:val="00F21A9F"/>
    <w:rsid w:val="00F61CDD"/>
    <w:rsid w:val="00FA4C89"/>
    <w:rsid w:val="00FB0A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48B6"/>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48B6"/>
  </w:style>
  <w:style w:type="paragraph" w:customStyle="1" w:styleId="Default">
    <w:name w:val="Default"/>
    <w:rsid w:val="003C48B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C48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48B6"/>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48B6"/>
  </w:style>
  <w:style w:type="paragraph" w:customStyle="1" w:styleId="Default">
    <w:name w:val="Default"/>
    <w:rsid w:val="003C48B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C4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ie.Dempsey@djei.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internal_market/auditing/reform/index_en.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Dempsey</dc:creator>
  <cp:lastModifiedBy>Marie Dempsey</cp:lastModifiedBy>
  <cp:revision>14</cp:revision>
  <cp:lastPrinted>2014-09-11T15:54:00Z</cp:lastPrinted>
  <dcterms:created xsi:type="dcterms:W3CDTF">2014-10-10T17:12:00Z</dcterms:created>
  <dcterms:modified xsi:type="dcterms:W3CDTF">2014-10-14T15:21:00Z</dcterms:modified>
</cp:coreProperties>
</file>